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F2F3" w14:textId="5FB5D98A" w:rsidR="004D0F37" w:rsidRPr="00717151" w:rsidRDefault="00A16814" w:rsidP="00A16814">
      <w:pPr>
        <w:jc w:val="center"/>
        <w:rPr>
          <w:b/>
          <w:bCs/>
        </w:rPr>
      </w:pPr>
      <w:r w:rsidRPr="00717151">
        <w:rPr>
          <w:b/>
          <w:bCs/>
        </w:rPr>
        <w:t xml:space="preserve">Consultation sur l’avant-projet de loi </w:t>
      </w:r>
      <w:r w:rsidR="00B10703" w:rsidRPr="00717151">
        <w:rPr>
          <w:b/>
          <w:bCs/>
        </w:rPr>
        <w:t xml:space="preserve">fédérale </w:t>
      </w:r>
      <w:r w:rsidRPr="00717151">
        <w:rPr>
          <w:b/>
          <w:bCs/>
        </w:rPr>
        <w:t>sur les produits cannabiques (</w:t>
      </w:r>
      <w:proofErr w:type="spellStart"/>
      <w:r w:rsidRPr="00717151">
        <w:rPr>
          <w:b/>
          <w:bCs/>
        </w:rPr>
        <w:t>LPCan</w:t>
      </w:r>
      <w:proofErr w:type="spellEnd"/>
      <w:r w:rsidRPr="00717151">
        <w:rPr>
          <w:b/>
          <w:bCs/>
        </w:rPr>
        <w:t>)</w:t>
      </w:r>
    </w:p>
    <w:p w14:paraId="3A0277B2" w14:textId="77777777" w:rsidR="009A3D05" w:rsidRPr="00717151" w:rsidRDefault="009A3D05" w:rsidP="00415D91"/>
    <w:p w14:paraId="79B4EB5D" w14:textId="77777777" w:rsidR="009A3D05" w:rsidRPr="00717151" w:rsidRDefault="009A3D05" w:rsidP="00415D91"/>
    <w:p w14:paraId="696E4CBE" w14:textId="77777777" w:rsidR="009A3D05" w:rsidRPr="00717151" w:rsidRDefault="009A3D05" w:rsidP="00415D91"/>
    <w:p w14:paraId="5A5798A3" w14:textId="77777777" w:rsidR="00A46615" w:rsidRPr="00717151" w:rsidRDefault="00A46615" w:rsidP="00415D91"/>
    <w:p w14:paraId="44270E42" w14:textId="13920DF2" w:rsidR="00A16814" w:rsidRPr="00717151" w:rsidRDefault="00A16814" w:rsidP="009A3D05">
      <w:pPr>
        <w:jc w:val="center"/>
        <w:rPr>
          <w:b/>
          <w:bCs/>
          <w:sz w:val="32"/>
          <w:szCs w:val="32"/>
        </w:rPr>
      </w:pPr>
      <w:r w:rsidRPr="005B3B20">
        <w:rPr>
          <w:b/>
          <w:bCs/>
          <w:sz w:val="32"/>
          <w:szCs w:val="32"/>
        </w:rPr>
        <w:t xml:space="preserve">Procédure de consultation du </w:t>
      </w:r>
      <w:r w:rsidR="005B3B20" w:rsidRPr="005B3B20">
        <w:rPr>
          <w:b/>
          <w:bCs/>
          <w:sz w:val="32"/>
          <w:szCs w:val="32"/>
        </w:rPr>
        <w:t>29</w:t>
      </w:r>
      <w:r w:rsidRPr="005B3B20">
        <w:rPr>
          <w:b/>
          <w:bCs/>
          <w:sz w:val="32"/>
          <w:szCs w:val="32"/>
        </w:rPr>
        <w:t xml:space="preserve"> août </w:t>
      </w:r>
      <w:r w:rsidR="00D01D4E">
        <w:rPr>
          <w:b/>
          <w:bCs/>
          <w:sz w:val="32"/>
          <w:szCs w:val="32"/>
        </w:rPr>
        <w:t xml:space="preserve">2025 </w:t>
      </w:r>
      <w:r w:rsidRPr="005B3B20">
        <w:rPr>
          <w:b/>
          <w:bCs/>
          <w:sz w:val="32"/>
          <w:szCs w:val="32"/>
        </w:rPr>
        <w:t xml:space="preserve">au </w:t>
      </w:r>
      <w:r w:rsidR="005B3B20" w:rsidRPr="005B3B20">
        <w:rPr>
          <w:b/>
          <w:bCs/>
          <w:sz w:val="32"/>
          <w:szCs w:val="32"/>
        </w:rPr>
        <w:t>1</w:t>
      </w:r>
      <w:r w:rsidR="005B3B20" w:rsidRPr="005B3B20">
        <w:rPr>
          <w:b/>
          <w:bCs/>
          <w:sz w:val="32"/>
          <w:szCs w:val="32"/>
          <w:vertAlign w:val="superscript"/>
        </w:rPr>
        <w:t>er</w:t>
      </w:r>
      <w:r w:rsidR="005B3B20" w:rsidRPr="005B3B20">
        <w:rPr>
          <w:b/>
          <w:bCs/>
          <w:sz w:val="32"/>
          <w:szCs w:val="32"/>
        </w:rPr>
        <w:t xml:space="preserve"> décembre</w:t>
      </w:r>
      <w:r w:rsidRPr="005B3B20">
        <w:rPr>
          <w:b/>
          <w:bCs/>
          <w:sz w:val="32"/>
          <w:szCs w:val="32"/>
        </w:rPr>
        <w:t xml:space="preserve"> 2025</w:t>
      </w:r>
    </w:p>
    <w:p w14:paraId="49D58053" w14:textId="77777777" w:rsidR="00A16814" w:rsidRPr="00717151" w:rsidRDefault="00A16814" w:rsidP="009A3D05">
      <w:pPr>
        <w:jc w:val="center"/>
        <w:rPr>
          <w:b/>
          <w:bCs/>
          <w:sz w:val="32"/>
          <w:szCs w:val="32"/>
        </w:rPr>
      </w:pPr>
    </w:p>
    <w:p w14:paraId="1B887598" w14:textId="77777777" w:rsidR="00A16814" w:rsidRPr="00717151" w:rsidRDefault="00A16814" w:rsidP="009A3D05">
      <w:pPr>
        <w:jc w:val="center"/>
        <w:rPr>
          <w:b/>
          <w:bCs/>
          <w:sz w:val="32"/>
          <w:szCs w:val="32"/>
        </w:rPr>
      </w:pPr>
    </w:p>
    <w:p w14:paraId="3B6EC888" w14:textId="0FB2E19C" w:rsidR="009A3D05" w:rsidRPr="00717151" w:rsidRDefault="0026308A" w:rsidP="009A3D05">
      <w:pPr>
        <w:jc w:val="center"/>
        <w:rPr>
          <w:b/>
          <w:bCs/>
          <w:sz w:val="32"/>
          <w:szCs w:val="32"/>
        </w:rPr>
      </w:pPr>
      <w:r w:rsidRPr="00717151">
        <w:rPr>
          <w:b/>
          <w:bCs/>
          <w:sz w:val="32"/>
          <w:szCs w:val="32"/>
        </w:rPr>
        <w:t>Veuillez saisir votre prise de position sur la plateforme</w:t>
      </w:r>
      <w:proofErr w:type="gramStart"/>
      <w:r w:rsidR="009A3D05" w:rsidRPr="00717151">
        <w:rPr>
          <w:b/>
          <w:bCs/>
          <w:sz w:val="32"/>
          <w:szCs w:val="32"/>
        </w:rPr>
        <w:t xml:space="preserve"> «Consultations</w:t>
      </w:r>
      <w:proofErr w:type="gramEnd"/>
      <w:r w:rsidR="009A3D05" w:rsidRPr="00717151">
        <w:rPr>
          <w:b/>
          <w:bCs/>
          <w:sz w:val="32"/>
          <w:szCs w:val="32"/>
        </w:rPr>
        <w:t>»</w:t>
      </w:r>
      <w:r w:rsidRPr="00717151">
        <w:rPr>
          <w:b/>
          <w:bCs/>
          <w:sz w:val="32"/>
          <w:szCs w:val="32"/>
        </w:rPr>
        <w:t xml:space="preserve"> </w:t>
      </w:r>
      <w:r w:rsidR="009A3D05" w:rsidRPr="00717151">
        <w:rPr>
          <w:b/>
          <w:bCs/>
          <w:sz w:val="32"/>
          <w:szCs w:val="32"/>
        </w:rPr>
        <w:t>:</w:t>
      </w:r>
    </w:p>
    <w:p w14:paraId="4EA54C92" w14:textId="77777777" w:rsidR="009A3D05" w:rsidRPr="00717151" w:rsidRDefault="009A3D05" w:rsidP="009A3D05">
      <w:pPr>
        <w:jc w:val="center"/>
        <w:rPr>
          <w:b/>
          <w:bCs/>
          <w:sz w:val="32"/>
          <w:szCs w:val="32"/>
        </w:rPr>
      </w:pPr>
    </w:p>
    <w:p w14:paraId="48BE381B" w14:textId="77777777" w:rsidR="009A3D05" w:rsidRPr="00717151" w:rsidRDefault="009A3D05" w:rsidP="009A3D05">
      <w:pPr>
        <w:jc w:val="center"/>
        <w:rPr>
          <w:b/>
          <w:bCs/>
          <w:sz w:val="32"/>
          <w:szCs w:val="32"/>
        </w:rPr>
      </w:pPr>
    </w:p>
    <w:p w14:paraId="1964B4CA" w14:textId="77777777" w:rsidR="00717151" w:rsidRPr="00717151" w:rsidRDefault="00717151" w:rsidP="009A3D05">
      <w:pPr>
        <w:jc w:val="center"/>
        <w:rPr>
          <w:b/>
          <w:bCs/>
          <w:sz w:val="32"/>
          <w:szCs w:val="32"/>
        </w:rPr>
      </w:pPr>
    </w:p>
    <w:p w14:paraId="19FF566A" w14:textId="501C69F2" w:rsidR="009A3D05" w:rsidRPr="00717151" w:rsidRDefault="009A3D05" w:rsidP="009A3D05">
      <w:pPr>
        <w:jc w:val="center"/>
        <w:rPr>
          <w:b/>
          <w:bCs/>
          <w:color w:val="215E99" w:themeColor="text2" w:themeTint="BF"/>
          <w:sz w:val="52"/>
          <w:szCs w:val="52"/>
          <w:u w:val="single"/>
        </w:rPr>
      </w:pPr>
      <w:hyperlink r:id="rId11" w:history="1">
        <w:r w:rsidRPr="00717151">
          <w:rPr>
            <w:rStyle w:val="Lienhypertexte"/>
            <w:b/>
            <w:bCs/>
            <w:sz w:val="52"/>
            <w:szCs w:val="52"/>
          </w:rPr>
          <w:t>Consultations (admin.ch)</w:t>
        </w:r>
      </w:hyperlink>
    </w:p>
    <w:p w14:paraId="006F9F8C" w14:textId="77777777" w:rsidR="009A3D05" w:rsidRPr="00717151" w:rsidRDefault="009A3D05" w:rsidP="009A3D05">
      <w:pPr>
        <w:jc w:val="center"/>
        <w:rPr>
          <w:b/>
          <w:bCs/>
          <w:sz w:val="52"/>
          <w:szCs w:val="52"/>
        </w:rPr>
      </w:pPr>
    </w:p>
    <w:p w14:paraId="54F4BBA6" w14:textId="77777777" w:rsidR="009A3D05" w:rsidRPr="00717151" w:rsidRDefault="009A3D05" w:rsidP="009A3D05">
      <w:pPr>
        <w:jc w:val="center"/>
        <w:rPr>
          <w:b/>
          <w:bCs/>
          <w:sz w:val="52"/>
          <w:szCs w:val="52"/>
        </w:rPr>
      </w:pPr>
    </w:p>
    <w:p w14:paraId="7C6A1624" w14:textId="4A695A54" w:rsidR="009A3D05" w:rsidRPr="00717151" w:rsidRDefault="0026308A" w:rsidP="0026308A">
      <w:pPr>
        <w:jc w:val="center"/>
        <w:rPr>
          <w:b/>
          <w:bCs/>
          <w:sz w:val="24"/>
          <w:szCs w:val="24"/>
        </w:rPr>
      </w:pPr>
      <w:r w:rsidRPr="00717151">
        <w:rPr>
          <w:b/>
          <w:bCs/>
          <w:sz w:val="24"/>
          <w:szCs w:val="24"/>
        </w:rPr>
        <w:t xml:space="preserve">Si vous n’avez pas la possibilité d’utiliser cet outil, vous pouvez </w:t>
      </w:r>
      <w:proofErr w:type="spellStart"/>
      <w:r w:rsidRPr="00717151">
        <w:rPr>
          <w:b/>
          <w:bCs/>
          <w:sz w:val="24"/>
          <w:szCs w:val="24"/>
        </w:rPr>
        <w:t>insérér</w:t>
      </w:r>
      <w:proofErr w:type="spellEnd"/>
      <w:r w:rsidRPr="00717151">
        <w:rPr>
          <w:b/>
          <w:bCs/>
          <w:sz w:val="24"/>
          <w:szCs w:val="24"/>
        </w:rPr>
        <w:t xml:space="preserve"> votre prise de</w:t>
      </w:r>
      <w:r w:rsidR="00AE7280" w:rsidRPr="00717151">
        <w:rPr>
          <w:b/>
          <w:bCs/>
          <w:sz w:val="24"/>
          <w:szCs w:val="24"/>
        </w:rPr>
        <w:t xml:space="preserve"> </w:t>
      </w:r>
      <w:r w:rsidRPr="00717151">
        <w:rPr>
          <w:b/>
          <w:bCs/>
          <w:sz w:val="24"/>
          <w:szCs w:val="24"/>
        </w:rPr>
        <w:t xml:space="preserve">position dans le modèle Word disponible ci-après et l’envoyer via la plateforme </w:t>
      </w:r>
      <w:r w:rsidR="00AE7280" w:rsidRPr="00717151">
        <w:rPr>
          <w:b/>
          <w:bCs/>
          <w:sz w:val="24"/>
          <w:szCs w:val="24"/>
        </w:rPr>
        <w:t>« </w:t>
      </w:r>
      <w:r w:rsidRPr="00717151">
        <w:rPr>
          <w:b/>
          <w:bCs/>
          <w:sz w:val="24"/>
          <w:szCs w:val="24"/>
        </w:rPr>
        <w:t>Consu</w:t>
      </w:r>
      <w:r w:rsidR="00AE7280" w:rsidRPr="00717151">
        <w:rPr>
          <w:b/>
          <w:bCs/>
          <w:sz w:val="24"/>
          <w:szCs w:val="24"/>
        </w:rPr>
        <w:t>lt</w:t>
      </w:r>
      <w:r w:rsidRPr="00717151">
        <w:rPr>
          <w:b/>
          <w:bCs/>
          <w:sz w:val="24"/>
          <w:szCs w:val="24"/>
        </w:rPr>
        <w:t>ations</w:t>
      </w:r>
      <w:r w:rsidR="00AE7280" w:rsidRPr="00717151">
        <w:rPr>
          <w:b/>
          <w:bCs/>
          <w:sz w:val="24"/>
          <w:szCs w:val="24"/>
        </w:rPr>
        <w:t> »</w:t>
      </w:r>
      <w:r w:rsidRPr="00717151">
        <w:rPr>
          <w:b/>
          <w:bCs/>
          <w:sz w:val="24"/>
          <w:szCs w:val="24"/>
        </w:rPr>
        <w:t xml:space="preserve"> sous « Avis général, ajouter un document », ou à l’adresse suivante : </w:t>
      </w:r>
    </w:p>
    <w:p w14:paraId="5426462F" w14:textId="77777777" w:rsidR="00E524F8" w:rsidRPr="00717151" w:rsidRDefault="00E524F8" w:rsidP="009A3D05">
      <w:pPr>
        <w:jc w:val="center"/>
        <w:rPr>
          <w:b/>
          <w:bCs/>
          <w:sz w:val="24"/>
          <w:szCs w:val="24"/>
        </w:rPr>
      </w:pPr>
    </w:p>
    <w:p w14:paraId="289EF13D" w14:textId="564D417D" w:rsidR="00E524F8" w:rsidRDefault="009D1B8E" w:rsidP="009A3D05">
      <w:pPr>
        <w:jc w:val="center"/>
        <w:rPr>
          <w:b/>
          <w:bCs/>
          <w:sz w:val="24"/>
          <w:szCs w:val="24"/>
        </w:rPr>
      </w:pPr>
      <w:hyperlink r:id="rId12" w:history="1">
        <w:r w:rsidRPr="00CF3396">
          <w:rPr>
            <w:rStyle w:val="Lienhypertexte"/>
            <w:b/>
            <w:bCs/>
            <w:sz w:val="24"/>
            <w:szCs w:val="24"/>
          </w:rPr>
          <w:t>cannabisregulierung@bag.admin.ch</w:t>
        </w:r>
      </w:hyperlink>
    </w:p>
    <w:p w14:paraId="6025DFFA" w14:textId="77777777" w:rsidR="00A5371A" w:rsidRPr="00717151" w:rsidRDefault="00A5371A" w:rsidP="009A3D05">
      <w:pPr>
        <w:jc w:val="center"/>
        <w:rPr>
          <w:b/>
          <w:bCs/>
          <w:sz w:val="20"/>
          <w:szCs w:val="20"/>
        </w:rPr>
      </w:pPr>
    </w:p>
    <w:p w14:paraId="6148DE9A" w14:textId="23C488FD" w:rsidR="00717151" w:rsidRPr="00717151" w:rsidRDefault="00717151">
      <w:pPr>
        <w:spacing w:after="160" w:line="259" w:lineRule="auto"/>
        <w:rPr>
          <w:b/>
          <w:bCs/>
          <w:sz w:val="52"/>
          <w:szCs w:val="52"/>
        </w:rPr>
      </w:pPr>
      <w:r w:rsidRPr="00717151">
        <w:rPr>
          <w:b/>
          <w:bCs/>
          <w:sz w:val="52"/>
          <w:szCs w:val="52"/>
        </w:rPr>
        <w:br w:type="page"/>
      </w:r>
    </w:p>
    <w:p w14:paraId="3EFC2A26" w14:textId="45347687" w:rsidR="009A3D05" w:rsidRPr="00717151" w:rsidRDefault="0026308A" w:rsidP="009A3D05">
      <w:pPr>
        <w:rPr>
          <w:b/>
          <w:bCs/>
          <w:sz w:val="36"/>
          <w:szCs w:val="36"/>
        </w:rPr>
      </w:pPr>
      <w:r w:rsidRPr="00717151">
        <w:rPr>
          <w:b/>
          <w:bCs/>
          <w:sz w:val="36"/>
          <w:szCs w:val="36"/>
        </w:rPr>
        <w:lastRenderedPageBreak/>
        <w:t xml:space="preserve">Prise de position de </w:t>
      </w:r>
    </w:p>
    <w:p w14:paraId="6D4DB7AD" w14:textId="77777777" w:rsidR="009A3D05" w:rsidRPr="00717151" w:rsidRDefault="009A3D05" w:rsidP="009A3D05">
      <w:pPr>
        <w:rPr>
          <w:b/>
          <w:bCs/>
          <w:sz w:val="40"/>
          <w:szCs w:val="40"/>
        </w:rPr>
      </w:pPr>
    </w:p>
    <w:p w14:paraId="2E9AC530" w14:textId="77777777" w:rsidR="001666BF" w:rsidRPr="00717151" w:rsidRDefault="001666BF" w:rsidP="009A3D05">
      <w:pPr>
        <w:rPr>
          <w:b/>
          <w:bCs/>
          <w:sz w:val="40"/>
          <w:szCs w:val="40"/>
        </w:rPr>
      </w:pPr>
    </w:p>
    <w:p w14:paraId="0AB608AD" w14:textId="1A0BFDD5" w:rsidR="009A3D05" w:rsidRPr="00717151" w:rsidRDefault="009A3D05" w:rsidP="009A3D05">
      <w:pPr>
        <w:rPr>
          <w:sz w:val="24"/>
          <w:szCs w:val="24"/>
        </w:rPr>
      </w:pPr>
      <w:r w:rsidRPr="00717151">
        <w:rPr>
          <w:sz w:val="24"/>
          <w:szCs w:val="24"/>
        </w:rPr>
        <w:t>N</w:t>
      </w:r>
      <w:r w:rsidR="0026308A" w:rsidRPr="00717151">
        <w:rPr>
          <w:sz w:val="24"/>
          <w:szCs w:val="24"/>
        </w:rPr>
        <w:t>om</w:t>
      </w:r>
      <w:r w:rsidRPr="00717151">
        <w:rPr>
          <w:sz w:val="24"/>
          <w:szCs w:val="24"/>
        </w:rPr>
        <w:t xml:space="preserve"> / </w:t>
      </w:r>
      <w:r w:rsidR="0026308A" w:rsidRPr="00717151">
        <w:rPr>
          <w:sz w:val="24"/>
          <w:szCs w:val="24"/>
        </w:rPr>
        <w:t>entreprise</w:t>
      </w:r>
      <w:r w:rsidRPr="00717151">
        <w:rPr>
          <w:sz w:val="24"/>
          <w:szCs w:val="24"/>
        </w:rPr>
        <w:t xml:space="preserve"> / </w:t>
      </w:r>
      <w:r w:rsidR="0026308A" w:rsidRPr="00717151">
        <w:rPr>
          <w:sz w:val="24"/>
          <w:szCs w:val="24"/>
        </w:rPr>
        <w:t>o</w:t>
      </w:r>
      <w:r w:rsidRPr="00717151">
        <w:rPr>
          <w:sz w:val="24"/>
          <w:szCs w:val="24"/>
        </w:rPr>
        <w:t xml:space="preserve">rganisation </w:t>
      </w:r>
      <w:r w:rsidRPr="00717151">
        <w:rPr>
          <w:sz w:val="24"/>
          <w:szCs w:val="24"/>
        </w:rPr>
        <w:tab/>
      </w:r>
      <w:r w:rsidRPr="00717151">
        <w:rPr>
          <w:sz w:val="24"/>
          <w:szCs w:val="24"/>
        </w:rPr>
        <w:tab/>
      </w:r>
      <w:r w:rsidR="0026308A" w:rsidRPr="00717151">
        <w:rPr>
          <w:sz w:val="24"/>
          <w:szCs w:val="24"/>
        </w:rPr>
        <w:tab/>
      </w:r>
      <w:r w:rsidRPr="00717151">
        <w:rPr>
          <w:sz w:val="24"/>
          <w:szCs w:val="24"/>
        </w:rPr>
        <w:t xml:space="preserve">: </w:t>
      </w:r>
      <w:r w:rsidR="006671C5" w:rsidRPr="00A71581">
        <w:rPr>
          <w:sz w:val="24"/>
          <w:szCs w:val="24"/>
          <w:highlight w:val="yellow"/>
        </w:rPr>
        <w:t>Groupement Romand d’Études des Addictions</w:t>
      </w:r>
    </w:p>
    <w:p w14:paraId="2F3A933B" w14:textId="77777777" w:rsidR="009A3D05" w:rsidRPr="00717151" w:rsidRDefault="009A3D05" w:rsidP="009A3D05">
      <w:pPr>
        <w:rPr>
          <w:sz w:val="36"/>
          <w:szCs w:val="36"/>
        </w:rPr>
      </w:pPr>
    </w:p>
    <w:p w14:paraId="3B6E6705" w14:textId="2548DB44" w:rsidR="009A3D05" w:rsidRPr="00717151" w:rsidRDefault="0026308A" w:rsidP="009A3D05">
      <w:pPr>
        <w:rPr>
          <w:sz w:val="24"/>
          <w:szCs w:val="24"/>
        </w:rPr>
      </w:pPr>
      <w:r w:rsidRPr="00717151">
        <w:rPr>
          <w:sz w:val="24"/>
          <w:szCs w:val="24"/>
        </w:rPr>
        <w:t>Abréviation de l’entreprise</w:t>
      </w:r>
      <w:r w:rsidR="009A3D05" w:rsidRPr="00717151">
        <w:rPr>
          <w:sz w:val="24"/>
          <w:szCs w:val="24"/>
        </w:rPr>
        <w:t xml:space="preserve"> / </w:t>
      </w:r>
      <w:r w:rsidRPr="00717151">
        <w:rPr>
          <w:sz w:val="24"/>
          <w:szCs w:val="24"/>
        </w:rPr>
        <w:t>o</w:t>
      </w:r>
      <w:r w:rsidR="009A3D05" w:rsidRPr="00717151">
        <w:rPr>
          <w:sz w:val="24"/>
          <w:szCs w:val="24"/>
        </w:rPr>
        <w:t xml:space="preserve">rganisation </w:t>
      </w:r>
      <w:r w:rsidR="009A3D05" w:rsidRPr="00717151">
        <w:rPr>
          <w:sz w:val="24"/>
          <w:szCs w:val="24"/>
        </w:rPr>
        <w:tab/>
        <w:t xml:space="preserve">: </w:t>
      </w:r>
      <w:r w:rsidR="006671C5" w:rsidRPr="00A71581">
        <w:rPr>
          <w:sz w:val="24"/>
          <w:szCs w:val="24"/>
          <w:highlight w:val="yellow"/>
        </w:rPr>
        <w:t>GREA</w:t>
      </w:r>
    </w:p>
    <w:p w14:paraId="7CEE9851" w14:textId="77777777" w:rsidR="009A3D05" w:rsidRPr="00717151" w:rsidRDefault="009A3D05" w:rsidP="009A3D05">
      <w:pPr>
        <w:rPr>
          <w:sz w:val="36"/>
          <w:szCs w:val="36"/>
        </w:rPr>
      </w:pPr>
    </w:p>
    <w:p w14:paraId="2EEE5D66" w14:textId="741457F9" w:rsidR="009A3D05" w:rsidRPr="00717151" w:rsidRDefault="009A3D05" w:rsidP="009A3D05">
      <w:pPr>
        <w:rPr>
          <w:sz w:val="24"/>
          <w:szCs w:val="24"/>
        </w:rPr>
      </w:pPr>
      <w:r w:rsidRPr="00717151">
        <w:rPr>
          <w:sz w:val="24"/>
          <w:szCs w:val="24"/>
        </w:rPr>
        <w:t xml:space="preserve">Adresse </w:t>
      </w:r>
      <w:r w:rsidRPr="00717151">
        <w:rPr>
          <w:sz w:val="24"/>
          <w:szCs w:val="24"/>
        </w:rPr>
        <w:tab/>
      </w:r>
      <w:r w:rsidRPr="00717151">
        <w:rPr>
          <w:sz w:val="24"/>
          <w:szCs w:val="24"/>
        </w:rPr>
        <w:tab/>
      </w:r>
      <w:r w:rsidRPr="00717151">
        <w:rPr>
          <w:sz w:val="24"/>
          <w:szCs w:val="24"/>
        </w:rPr>
        <w:tab/>
      </w:r>
      <w:r w:rsidRPr="00717151">
        <w:rPr>
          <w:sz w:val="24"/>
          <w:szCs w:val="24"/>
        </w:rPr>
        <w:tab/>
      </w:r>
      <w:r w:rsidRPr="00717151">
        <w:rPr>
          <w:sz w:val="24"/>
          <w:szCs w:val="24"/>
        </w:rPr>
        <w:tab/>
      </w:r>
      <w:r w:rsidR="0026308A" w:rsidRPr="00717151">
        <w:rPr>
          <w:sz w:val="24"/>
          <w:szCs w:val="24"/>
        </w:rPr>
        <w:tab/>
      </w:r>
      <w:r w:rsidRPr="00717151">
        <w:rPr>
          <w:sz w:val="24"/>
          <w:szCs w:val="24"/>
        </w:rPr>
        <w:t xml:space="preserve">: </w:t>
      </w:r>
      <w:r w:rsidR="006671C5" w:rsidRPr="00A71581">
        <w:rPr>
          <w:sz w:val="24"/>
          <w:szCs w:val="24"/>
          <w:highlight w:val="yellow"/>
        </w:rPr>
        <w:t>Rue St-Pierre 3, 1003 Lausanne</w:t>
      </w:r>
    </w:p>
    <w:p w14:paraId="5214B7AF" w14:textId="77777777" w:rsidR="009A3D05" w:rsidRPr="00717151" w:rsidRDefault="009A3D05" w:rsidP="009A3D05">
      <w:pPr>
        <w:rPr>
          <w:sz w:val="36"/>
          <w:szCs w:val="36"/>
        </w:rPr>
      </w:pPr>
    </w:p>
    <w:p w14:paraId="56F8F0BC" w14:textId="52C72B21" w:rsidR="009A3D05" w:rsidRPr="00717151" w:rsidRDefault="0026308A" w:rsidP="009A3D05">
      <w:pPr>
        <w:rPr>
          <w:sz w:val="24"/>
          <w:szCs w:val="24"/>
        </w:rPr>
      </w:pPr>
      <w:r w:rsidRPr="00717151">
        <w:rPr>
          <w:sz w:val="24"/>
          <w:szCs w:val="24"/>
        </w:rPr>
        <w:t xml:space="preserve">Personne de contact </w:t>
      </w:r>
      <w:r w:rsidR="009A3D05" w:rsidRPr="00717151">
        <w:rPr>
          <w:sz w:val="24"/>
          <w:szCs w:val="24"/>
        </w:rPr>
        <w:tab/>
      </w:r>
      <w:r w:rsidR="009A3D05" w:rsidRPr="00717151">
        <w:rPr>
          <w:sz w:val="24"/>
          <w:szCs w:val="24"/>
        </w:rPr>
        <w:tab/>
      </w:r>
      <w:r w:rsidR="009A3D05" w:rsidRPr="00717151">
        <w:rPr>
          <w:sz w:val="24"/>
          <w:szCs w:val="24"/>
        </w:rPr>
        <w:tab/>
      </w:r>
      <w:r w:rsidR="009A3D05" w:rsidRPr="00717151">
        <w:rPr>
          <w:sz w:val="24"/>
          <w:szCs w:val="24"/>
        </w:rPr>
        <w:tab/>
        <w:t xml:space="preserve">: </w:t>
      </w:r>
      <w:r w:rsidR="006671C5" w:rsidRPr="00A71581">
        <w:rPr>
          <w:sz w:val="24"/>
          <w:szCs w:val="24"/>
          <w:highlight w:val="yellow"/>
        </w:rPr>
        <w:t xml:space="preserve">Camille Robert, </w:t>
      </w:r>
      <w:proofErr w:type="spellStart"/>
      <w:r w:rsidR="006671C5" w:rsidRPr="00A71581">
        <w:rPr>
          <w:sz w:val="24"/>
          <w:szCs w:val="24"/>
          <w:highlight w:val="yellow"/>
        </w:rPr>
        <w:t>co</w:t>
      </w:r>
      <w:proofErr w:type="spellEnd"/>
      <w:r w:rsidR="006671C5" w:rsidRPr="00A71581">
        <w:rPr>
          <w:sz w:val="24"/>
          <w:szCs w:val="24"/>
          <w:highlight w:val="yellow"/>
        </w:rPr>
        <w:t>-secrétaire générale</w:t>
      </w:r>
    </w:p>
    <w:p w14:paraId="0B206E73" w14:textId="77777777" w:rsidR="009A3D05" w:rsidRPr="00717151" w:rsidRDefault="009A3D05" w:rsidP="009A3D05">
      <w:pPr>
        <w:rPr>
          <w:sz w:val="36"/>
          <w:szCs w:val="36"/>
        </w:rPr>
      </w:pPr>
    </w:p>
    <w:p w14:paraId="7F704438" w14:textId="7644473A" w:rsidR="009A3D05" w:rsidRPr="00717151" w:rsidRDefault="009A3D05" w:rsidP="009A3D05">
      <w:pPr>
        <w:rPr>
          <w:sz w:val="24"/>
          <w:szCs w:val="24"/>
        </w:rPr>
      </w:pPr>
      <w:r w:rsidRPr="00717151">
        <w:rPr>
          <w:sz w:val="24"/>
          <w:szCs w:val="24"/>
        </w:rPr>
        <w:t>T</w:t>
      </w:r>
      <w:r w:rsidR="0026308A" w:rsidRPr="00717151">
        <w:rPr>
          <w:sz w:val="24"/>
          <w:szCs w:val="24"/>
        </w:rPr>
        <w:t>éléphone</w:t>
      </w:r>
      <w:r w:rsidRPr="00717151">
        <w:rPr>
          <w:sz w:val="24"/>
          <w:szCs w:val="24"/>
        </w:rPr>
        <w:tab/>
      </w:r>
      <w:r w:rsidRPr="00717151">
        <w:rPr>
          <w:sz w:val="24"/>
          <w:szCs w:val="24"/>
        </w:rPr>
        <w:tab/>
      </w:r>
      <w:r w:rsidRPr="00717151">
        <w:rPr>
          <w:sz w:val="24"/>
          <w:szCs w:val="24"/>
        </w:rPr>
        <w:tab/>
      </w:r>
      <w:r w:rsidRPr="00717151">
        <w:rPr>
          <w:sz w:val="24"/>
          <w:szCs w:val="24"/>
        </w:rPr>
        <w:tab/>
      </w:r>
      <w:r w:rsidRPr="00717151">
        <w:rPr>
          <w:sz w:val="24"/>
          <w:szCs w:val="24"/>
        </w:rPr>
        <w:tab/>
      </w:r>
      <w:r w:rsidR="0026308A" w:rsidRPr="00717151">
        <w:rPr>
          <w:sz w:val="24"/>
          <w:szCs w:val="24"/>
        </w:rPr>
        <w:tab/>
      </w:r>
      <w:r w:rsidRPr="00717151">
        <w:rPr>
          <w:sz w:val="24"/>
          <w:szCs w:val="24"/>
        </w:rPr>
        <w:t xml:space="preserve">: </w:t>
      </w:r>
      <w:r w:rsidR="00A12793" w:rsidRPr="00A71581">
        <w:rPr>
          <w:sz w:val="24"/>
          <w:szCs w:val="24"/>
          <w:highlight w:val="yellow"/>
        </w:rPr>
        <w:t>024 420 22 61</w:t>
      </w:r>
    </w:p>
    <w:p w14:paraId="29305CDA" w14:textId="77777777" w:rsidR="009A3D05" w:rsidRPr="00717151" w:rsidRDefault="009A3D05" w:rsidP="009A3D05">
      <w:pPr>
        <w:rPr>
          <w:sz w:val="36"/>
          <w:szCs w:val="36"/>
        </w:rPr>
      </w:pPr>
    </w:p>
    <w:p w14:paraId="20411B91" w14:textId="0F6FB8F8" w:rsidR="009A3D05" w:rsidRPr="00212302" w:rsidRDefault="009A3D05" w:rsidP="009A3D05">
      <w:pPr>
        <w:rPr>
          <w:sz w:val="24"/>
          <w:szCs w:val="24"/>
        </w:rPr>
      </w:pPr>
      <w:proofErr w:type="gramStart"/>
      <w:r w:rsidRPr="00212302">
        <w:rPr>
          <w:sz w:val="24"/>
          <w:szCs w:val="24"/>
        </w:rPr>
        <w:t>E-Mail</w:t>
      </w:r>
      <w:proofErr w:type="gramEnd"/>
      <w:r w:rsidRPr="00212302">
        <w:rPr>
          <w:sz w:val="24"/>
          <w:szCs w:val="24"/>
        </w:rPr>
        <w:t xml:space="preserve"> </w:t>
      </w:r>
      <w:r w:rsidRPr="00212302">
        <w:rPr>
          <w:sz w:val="24"/>
          <w:szCs w:val="24"/>
        </w:rPr>
        <w:tab/>
      </w:r>
      <w:r w:rsidRPr="00212302">
        <w:rPr>
          <w:sz w:val="24"/>
          <w:szCs w:val="24"/>
        </w:rPr>
        <w:tab/>
      </w:r>
      <w:r w:rsidRPr="00212302">
        <w:rPr>
          <w:sz w:val="24"/>
          <w:szCs w:val="24"/>
        </w:rPr>
        <w:tab/>
      </w:r>
      <w:r w:rsidRPr="00212302">
        <w:rPr>
          <w:sz w:val="24"/>
          <w:szCs w:val="24"/>
        </w:rPr>
        <w:tab/>
      </w:r>
      <w:r w:rsidRPr="00212302">
        <w:rPr>
          <w:sz w:val="24"/>
          <w:szCs w:val="24"/>
        </w:rPr>
        <w:tab/>
      </w:r>
      <w:r w:rsidR="0026308A" w:rsidRPr="00212302">
        <w:rPr>
          <w:sz w:val="24"/>
          <w:szCs w:val="24"/>
        </w:rPr>
        <w:tab/>
      </w:r>
      <w:r w:rsidRPr="00212302">
        <w:rPr>
          <w:sz w:val="24"/>
          <w:szCs w:val="24"/>
        </w:rPr>
        <w:t xml:space="preserve">: </w:t>
      </w:r>
      <w:r w:rsidR="00A12793" w:rsidRPr="00212302">
        <w:rPr>
          <w:sz w:val="24"/>
          <w:szCs w:val="24"/>
          <w:highlight w:val="yellow"/>
        </w:rPr>
        <w:t>c.robert@grea.ch</w:t>
      </w:r>
    </w:p>
    <w:p w14:paraId="68AA556D" w14:textId="77777777" w:rsidR="009A3D05" w:rsidRPr="00212302" w:rsidRDefault="009A3D05" w:rsidP="009A3D05">
      <w:pPr>
        <w:rPr>
          <w:sz w:val="36"/>
          <w:szCs w:val="36"/>
        </w:rPr>
      </w:pPr>
    </w:p>
    <w:p w14:paraId="1FCCE69D" w14:textId="7530BB87" w:rsidR="009A3D05" w:rsidRPr="00717151" w:rsidRDefault="009A3D05" w:rsidP="009A3D05">
      <w:pPr>
        <w:rPr>
          <w:sz w:val="24"/>
          <w:szCs w:val="24"/>
        </w:rPr>
      </w:pPr>
      <w:r w:rsidRPr="00717151">
        <w:rPr>
          <w:sz w:val="24"/>
          <w:szCs w:val="24"/>
        </w:rPr>
        <w:t>Da</w:t>
      </w:r>
      <w:r w:rsidR="0026308A" w:rsidRPr="00717151">
        <w:rPr>
          <w:sz w:val="24"/>
          <w:szCs w:val="24"/>
        </w:rPr>
        <w:t xml:space="preserve">te </w:t>
      </w:r>
      <w:r w:rsidRPr="00717151">
        <w:rPr>
          <w:sz w:val="24"/>
          <w:szCs w:val="24"/>
        </w:rPr>
        <w:tab/>
      </w:r>
      <w:r w:rsidRPr="00717151">
        <w:rPr>
          <w:sz w:val="24"/>
          <w:szCs w:val="24"/>
        </w:rPr>
        <w:tab/>
      </w:r>
      <w:r w:rsidRPr="00717151">
        <w:rPr>
          <w:sz w:val="24"/>
          <w:szCs w:val="24"/>
        </w:rPr>
        <w:tab/>
      </w:r>
      <w:r w:rsidRPr="00717151">
        <w:rPr>
          <w:sz w:val="24"/>
          <w:szCs w:val="24"/>
        </w:rPr>
        <w:tab/>
      </w:r>
      <w:r w:rsidRPr="00717151">
        <w:rPr>
          <w:sz w:val="24"/>
          <w:szCs w:val="24"/>
        </w:rPr>
        <w:tab/>
      </w:r>
      <w:r w:rsidR="0026308A" w:rsidRPr="00717151">
        <w:rPr>
          <w:sz w:val="24"/>
          <w:szCs w:val="24"/>
        </w:rPr>
        <w:tab/>
      </w:r>
      <w:r w:rsidR="0026308A" w:rsidRPr="00717151">
        <w:rPr>
          <w:sz w:val="24"/>
          <w:szCs w:val="24"/>
        </w:rPr>
        <w:tab/>
      </w:r>
      <w:r w:rsidRPr="00717151">
        <w:rPr>
          <w:sz w:val="24"/>
          <w:szCs w:val="24"/>
        </w:rPr>
        <w:t xml:space="preserve">: </w:t>
      </w:r>
      <w:r w:rsidR="007720EC" w:rsidRPr="00A71581">
        <w:rPr>
          <w:sz w:val="24"/>
          <w:szCs w:val="24"/>
          <w:highlight w:val="yellow"/>
        </w:rPr>
        <w:t>04.09.2025</w:t>
      </w:r>
    </w:p>
    <w:p w14:paraId="02EA060D" w14:textId="77777777" w:rsidR="004561E3" w:rsidRPr="00717151" w:rsidRDefault="004561E3" w:rsidP="009A3D05">
      <w:pPr>
        <w:rPr>
          <w:b/>
          <w:bCs/>
          <w:sz w:val="32"/>
          <w:szCs w:val="32"/>
        </w:rPr>
      </w:pPr>
    </w:p>
    <w:p w14:paraId="23409C58" w14:textId="7BE03F3E" w:rsidR="00717151" w:rsidRPr="00717151" w:rsidRDefault="00717151">
      <w:pPr>
        <w:spacing w:after="160" w:line="259" w:lineRule="auto"/>
        <w:rPr>
          <w:b/>
          <w:bCs/>
          <w:sz w:val="32"/>
          <w:szCs w:val="32"/>
        </w:rPr>
      </w:pPr>
      <w:r w:rsidRPr="00717151">
        <w:rPr>
          <w:b/>
          <w:bCs/>
          <w:sz w:val="32"/>
          <w:szCs w:val="32"/>
        </w:rPr>
        <w:br w:type="page"/>
      </w:r>
    </w:p>
    <w:tbl>
      <w:tblPr>
        <w:tblStyle w:val="Grilledutableau"/>
        <w:tblW w:w="0" w:type="auto"/>
        <w:tblLook w:val="04A0" w:firstRow="1" w:lastRow="0" w:firstColumn="1" w:lastColumn="0" w:noHBand="0" w:noVBand="1"/>
      </w:tblPr>
      <w:tblGrid>
        <w:gridCol w:w="13949"/>
      </w:tblGrid>
      <w:tr w:rsidR="00875B55" w:rsidRPr="00717151" w14:paraId="47F3E3C2" w14:textId="77777777" w:rsidTr="00681613">
        <w:tc>
          <w:tcPr>
            <w:tcW w:w="13949" w:type="dxa"/>
            <w:shd w:val="clear" w:color="auto" w:fill="FAE2D5" w:themeFill="accent2" w:themeFillTint="33"/>
          </w:tcPr>
          <w:p w14:paraId="1A7844CF" w14:textId="74D06FF2" w:rsidR="00875B55" w:rsidRPr="00717151" w:rsidRDefault="0026308A" w:rsidP="00681613">
            <w:pPr>
              <w:rPr>
                <w:b/>
                <w:bCs/>
              </w:rPr>
            </w:pPr>
            <w:r w:rsidRPr="00717151">
              <w:rPr>
                <w:b/>
                <w:bCs/>
              </w:rPr>
              <w:lastRenderedPageBreak/>
              <w:t xml:space="preserve">Remarques générales </w:t>
            </w:r>
          </w:p>
          <w:p w14:paraId="12F479DE" w14:textId="77777777" w:rsidR="00875B55" w:rsidRPr="00717151" w:rsidRDefault="00875B55" w:rsidP="00681613">
            <w:pPr>
              <w:rPr>
                <w:b/>
                <w:bCs/>
                <w:sz w:val="24"/>
                <w:szCs w:val="24"/>
              </w:rPr>
            </w:pPr>
          </w:p>
        </w:tc>
      </w:tr>
      <w:tr w:rsidR="00875B55" w:rsidRPr="00717151" w14:paraId="57901AB6" w14:textId="77777777" w:rsidTr="00681613">
        <w:trPr>
          <w:trHeight w:val="961"/>
        </w:trPr>
        <w:tc>
          <w:tcPr>
            <w:tcW w:w="13949" w:type="dxa"/>
          </w:tcPr>
          <w:p w14:paraId="1EC0C28B" w14:textId="4CAD8182" w:rsidR="009A36FC" w:rsidRPr="00107F65" w:rsidRDefault="009A36FC" w:rsidP="009A36FC">
            <w:pPr>
              <w:rPr>
                <w:sz w:val="21"/>
                <w:szCs w:val="21"/>
              </w:rPr>
            </w:pPr>
            <w:r w:rsidRPr="00107F65">
              <w:rPr>
                <w:sz w:val="21"/>
                <w:szCs w:val="21"/>
              </w:rPr>
              <w:t>Le GREA a pris connaissance du projet de Loi sur les produits cannabiques (</w:t>
            </w:r>
            <w:proofErr w:type="spellStart"/>
            <w:r w:rsidRPr="00107F65">
              <w:rPr>
                <w:sz w:val="21"/>
                <w:szCs w:val="21"/>
              </w:rPr>
              <w:t>LPCan</w:t>
            </w:r>
            <w:proofErr w:type="spellEnd"/>
            <w:r w:rsidRPr="00107F65">
              <w:rPr>
                <w:sz w:val="21"/>
                <w:szCs w:val="21"/>
              </w:rPr>
              <w:t xml:space="preserve">), soumis à consultation </w:t>
            </w:r>
            <w:r>
              <w:rPr>
                <w:sz w:val="21"/>
                <w:szCs w:val="21"/>
              </w:rPr>
              <w:t>l</w:t>
            </w:r>
            <w:r w:rsidRPr="000D5BF9">
              <w:rPr>
                <w:sz w:val="21"/>
                <w:szCs w:val="21"/>
              </w:rPr>
              <w:t xml:space="preserve">e 29 août </w:t>
            </w:r>
            <w:r w:rsidRPr="00107F65">
              <w:rPr>
                <w:sz w:val="21"/>
                <w:szCs w:val="21"/>
              </w:rPr>
              <w:t>2025. Globalement, le GREA salue ce projet de loi et la régulation contrôlée du cannabis tel que proposée, qui permettrait une avancée majeure en termes de santé</w:t>
            </w:r>
            <w:r>
              <w:rPr>
                <w:sz w:val="21"/>
                <w:szCs w:val="21"/>
              </w:rPr>
              <w:t xml:space="preserve"> et de sécurité </w:t>
            </w:r>
            <w:r w:rsidRPr="00107F65">
              <w:rPr>
                <w:sz w:val="21"/>
                <w:szCs w:val="21"/>
              </w:rPr>
              <w:t>publique</w:t>
            </w:r>
            <w:r>
              <w:rPr>
                <w:sz w:val="21"/>
                <w:szCs w:val="21"/>
              </w:rPr>
              <w:t>s.</w:t>
            </w:r>
          </w:p>
          <w:p w14:paraId="63F41DEB" w14:textId="0FDBB80A" w:rsidR="009A36FC" w:rsidRDefault="009A36FC" w:rsidP="009A36FC">
            <w:pPr>
              <w:spacing w:before="100" w:beforeAutospacing="1" w:after="100" w:afterAutospacing="1"/>
              <w:outlineLvl w:val="1"/>
              <w:rPr>
                <w:rFonts w:eastAsia="Times New Roman" w:cs="Times New Roman"/>
                <w:color w:val="000000"/>
                <w:kern w:val="0"/>
                <w:sz w:val="21"/>
                <w:szCs w:val="21"/>
                <w:lang w:eastAsia="fr-FR"/>
                <w14:ligatures w14:val="none"/>
              </w:rPr>
            </w:pPr>
            <w:r w:rsidRPr="00AD0EBD">
              <w:rPr>
                <w:rFonts w:eastAsia="Times New Roman" w:cs="Times New Roman"/>
                <w:color w:val="000000"/>
                <w:kern w:val="0"/>
                <w:sz w:val="21"/>
                <w:szCs w:val="21"/>
                <w:lang w:eastAsia="fr-FR"/>
                <w14:ligatures w14:val="none"/>
              </w:rPr>
              <w:t>La politique actuelle de prohibition du cannabis en Suisse n’empêche ni la consommation, ni la production</w:t>
            </w:r>
            <w:r>
              <w:rPr>
                <w:rFonts w:eastAsia="Times New Roman" w:cs="Times New Roman"/>
                <w:color w:val="000000"/>
                <w:kern w:val="0"/>
                <w:sz w:val="21"/>
                <w:szCs w:val="21"/>
                <w:lang w:eastAsia="fr-FR"/>
                <w14:ligatures w14:val="none"/>
              </w:rPr>
              <w:t>,</w:t>
            </w:r>
            <w:r w:rsidRPr="00AD0EBD">
              <w:rPr>
                <w:rFonts w:eastAsia="Times New Roman" w:cs="Times New Roman"/>
                <w:color w:val="000000"/>
                <w:kern w:val="0"/>
                <w:sz w:val="21"/>
                <w:szCs w:val="21"/>
                <w:lang w:eastAsia="fr-FR"/>
                <w14:ligatures w14:val="none"/>
              </w:rPr>
              <w:t xml:space="preserve"> ni le trafic</w:t>
            </w:r>
            <w:r>
              <w:rPr>
                <w:rFonts w:eastAsia="Times New Roman" w:cs="Times New Roman"/>
                <w:color w:val="000000"/>
                <w:kern w:val="0"/>
                <w:sz w:val="21"/>
                <w:szCs w:val="21"/>
                <w:lang w:eastAsia="fr-FR"/>
                <w14:ligatures w14:val="none"/>
              </w:rPr>
              <w:t xml:space="preserve">. </w:t>
            </w:r>
            <w:r w:rsidRPr="00AD0EBD">
              <w:rPr>
                <w:rFonts w:eastAsia="Times New Roman" w:cs="Times New Roman"/>
                <w:color w:val="000000"/>
                <w:kern w:val="0"/>
                <w:sz w:val="21"/>
                <w:szCs w:val="21"/>
                <w:lang w:eastAsia="fr-FR"/>
                <w14:ligatures w14:val="none"/>
              </w:rPr>
              <w:t xml:space="preserve">Elle alimente </w:t>
            </w:r>
            <w:r>
              <w:rPr>
                <w:rFonts w:eastAsia="Times New Roman" w:cs="Times New Roman"/>
                <w:color w:val="000000"/>
                <w:kern w:val="0"/>
                <w:sz w:val="21"/>
                <w:szCs w:val="21"/>
                <w:lang w:eastAsia="fr-FR"/>
                <w14:ligatures w14:val="none"/>
              </w:rPr>
              <w:t>au contraire</w:t>
            </w:r>
            <w:r w:rsidRPr="00AD0EBD">
              <w:rPr>
                <w:rFonts w:eastAsia="Times New Roman" w:cs="Times New Roman"/>
                <w:color w:val="000000"/>
                <w:kern w:val="0"/>
                <w:sz w:val="21"/>
                <w:szCs w:val="21"/>
                <w:lang w:eastAsia="fr-FR"/>
                <w14:ligatures w14:val="none"/>
              </w:rPr>
              <w:t xml:space="preserve"> un marché </w:t>
            </w:r>
            <w:r w:rsidR="00592F91">
              <w:rPr>
                <w:rFonts w:eastAsia="Times New Roman" w:cs="Times New Roman"/>
                <w:color w:val="000000"/>
                <w:kern w:val="0"/>
                <w:sz w:val="21"/>
                <w:szCs w:val="21"/>
                <w:lang w:eastAsia="fr-FR"/>
                <w14:ligatures w14:val="none"/>
              </w:rPr>
              <w:t>illégal</w:t>
            </w:r>
            <w:r w:rsidRPr="00AD0EBD">
              <w:rPr>
                <w:rFonts w:eastAsia="Times New Roman" w:cs="Times New Roman"/>
                <w:color w:val="000000"/>
                <w:kern w:val="0"/>
                <w:sz w:val="21"/>
                <w:szCs w:val="21"/>
                <w:lang w:eastAsia="fr-FR"/>
                <w14:ligatures w14:val="none"/>
              </w:rPr>
              <w:t xml:space="preserve"> lucratif, renforce les réseaux criminels et mobilise d’importantes ressources policières et judiciaires sans effet</w:t>
            </w:r>
            <w:r>
              <w:rPr>
                <w:rFonts w:eastAsia="Times New Roman" w:cs="Times New Roman"/>
                <w:color w:val="000000"/>
                <w:kern w:val="0"/>
                <w:sz w:val="21"/>
                <w:szCs w:val="21"/>
                <w:lang w:eastAsia="fr-FR"/>
                <w14:ligatures w14:val="none"/>
              </w:rPr>
              <w:t>s</w:t>
            </w:r>
            <w:r w:rsidRPr="00AD0EBD">
              <w:rPr>
                <w:rFonts w:eastAsia="Times New Roman" w:cs="Times New Roman"/>
                <w:color w:val="000000"/>
                <w:kern w:val="0"/>
                <w:sz w:val="21"/>
                <w:szCs w:val="21"/>
                <w:lang w:eastAsia="fr-FR"/>
                <w14:ligatures w14:val="none"/>
              </w:rPr>
              <w:t xml:space="preserve"> durable</w:t>
            </w:r>
            <w:r>
              <w:rPr>
                <w:rFonts w:eastAsia="Times New Roman" w:cs="Times New Roman"/>
                <w:color w:val="000000"/>
                <w:kern w:val="0"/>
                <w:sz w:val="21"/>
                <w:szCs w:val="21"/>
                <w:lang w:eastAsia="fr-FR"/>
                <w14:ligatures w14:val="none"/>
              </w:rPr>
              <w:t>s</w:t>
            </w:r>
            <w:r w:rsidRPr="00AD0EBD">
              <w:rPr>
                <w:rFonts w:eastAsia="Times New Roman" w:cs="Times New Roman"/>
                <w:color w:val="000000"/>
                <w:kern w:val="0"/>
                <w:sz w:val="21"/>
                <w:szCs w:val="21"/>
                <w:lang w:eastAsia="fr-FR"/>
                <w14:ligatures w14:val="none"/>
              </w:rPr>
              <w:t>.</w:t>
            </w:r>
            <w:r>
              <w:rPr>
                <w:rFonts w:eastAsia="Times New Roman" w:cs="Times New Roman"/>
                <w:color w:val="000000"/>
                <w:kern w:val="0"/>
                <w:sz w:val="21"/>
                <w:szCs w:val="21"/>
                <w:lang w:eastAsia="fr-FR"/>
                <w14:ligatures w14:val="none"/>
              </w:rPr>
              <w:t xml:space="preserve"> </w:t>
            </w:r>
            <w:r w:rsidRPr="00AD0EBD">
              <w:rPr>
                <w:rFonts w:eastAsia="Times New Roman" w:cs="Times New Roman"/>
                <w:color w:val="000000"/>
                <w:kern w:val="0"/>
                <w:sz w:val="21"/>
                <w:szCs w:val="21"/>
                <w:lang w:eastAsia="fr-FR"/>
                <w14:ligatures w14:val="none"/>
              </w:rPr>
              <w:t>Les jeunes et les personnes vulnérables restent exposé</w:t>
            </w:r>
            <w:r>
              <w:rPr>
                <w:rFonts w:eastAsia="Times New Roman" w:cs="Times New Roman"/>
                <w:color w:val="000000"/>
                <w:kern w:val="0"/>
                <w:sz w:val="21"/>
                <w:szCs w:val="21"/>
                <w:lang w:eastAsia="fr-FR"/>
                <w14:ligatures w14:val="none"/>
              </w:rPr>
              <w:t>e</w:t>
            </w:r>
            <w:r w:rsidRPr="00AD0EBD">
              <w:rPr>
                <w:rFonts w:eastAsia="Times New Roman" w:cs="Times New Roman"/>
                <w:color w:val="000000"/>
                <w:kern w:val="0"/>
                <w:sz w:val="21"/>
                <w:szCs w:val="21"/>
                <w:lang w:eastAsia="fr-FR"/>
                <w14:ligatures w14:val="none"/>
              </w:rPr>
              <w:t>s à des produits non contrôlés, souvent coupés et dangereux.</w:t>
            </w:r>
            <w:r>
              <w:rPr>
                <w:rFonts w:eastAsia="Times New Roman" w:cs="Times New Roman"/>
                <w:color w:val="000000"/>
                <w:kern w:val="0"/>
                <w:sz w:val="21"/>
                <w:szCs w:val="21"/>
                <w:lang w:eastAsia="fr-FR"/>
                <w14:ligatures w14:val="none"/>
              </w:rPr>
              <w:t xml:space="preserve"> Les États ayant optés pour des modèles de régulation stricte, comme le Québec, montrent que cette solution permet de sortir de l’impasse en améliorant la santé et la sécurité publique</w:t>
            </w:r>
            <w:r w:rsidR="00C30480">
              <w:rPr>
                <w:rFonts w:eastAsia="Times New Roman" w:cs="Times New Roman"/>
                <w:color w:val="000000"/>
                <w:kern w:val="0"/>
                <w:sz w:val="21"/>
                <w:szCs w:val="21"/>
                <w:lang w:eastAsia="fr-FR"/>
                <w14:ligatures w14:val="none"/>
              </w:rPr>
              <w:t>s</w:t>
            </w:r>
            <w:r>
              <w:rPr>
                <w:rFonts w:eastAsia="Times New Roman" w:cs="Times New Roman"/>
                <w:color w:val="000000"/>
                <w:kern w:val="0"/>
                <w:sz w:val="21"/>
                <w:szCs w:val="21"/>
                <w:lang w:eastAsia="fr-FR"/>
                <w14:ligatures w14:val="none"/>
              </w:rPr>
              <w:t>. Nous ne pouvons que nous réjouir que la Suisse s’engage à son tour sur le chemin de la régulation du cannabis, avec un projet ambitieux, innovant et bien encadré.</w:t>
            </w:r>
          </w:p>
          <w:p w14:paraId="272CAEE4" w14:textId="77777777" w:rsidR="009A36FC" w:rsidRDefault="009A36FC" w:rsidP="009A36FC">
            <w:pPr>
              <w:spacing w:before="100" w:beforeAutospacing="1" w:after="100" w:afterAutospacing="1"/>
              <w:outlineLvl w:val="1"/>
              <w:rPr>
                <w:rFonts w:eastAsia="Times New Roman" w:cs="Times New Roman"/>
                <w:color w:val="000000"/>
                <w:kern w:val="0"/>
                <w:sz w:val="21"/>
                <w:szCs w:val="21"/>
                <w:lang w:eastAsia="fr-FR"/>
                <w14:ligatures w14:val="none"/>
              </w:rPr>
            </w:pPr>
            <w:r>
              <w:rPr>
                <w:rFonts w:eastAsia="Times New Roman" w:cs="Times New Roman"/>
                <w:color w:val="000000"/>
                <w:kern w:val="0"/>
                <w:sz w:val="21"/>
                <w:szCs w:val="21"/>
                <w:lang w:eastAsia="fr-FR"/>
                <w14:ligatures w14:val="none"/>
              </w:rPr>
              <w:t>Pour le GREA, les points forts de ce projet de loi sont les suivants :</w:t>
            </w:r>
          </w:p>
          <w:p w14:paraId="783E3798" w14:textId="77777777" w:rsidR="009A36FC" w:rsidRPr="00AC2A0A" w:rsidRDefault="009A36FC" w:rsidP="009A36FC">
            <w:pPr>
              <w:pStyle w:val="Paragraphedeliste"/>
              <w:numPr>
                <w:ilvl w:val="0"/>
                <w:numId w:val="1"/>
              </w:numPr>
              <w:spacing w:before="100" w:beforeAutospacing="1" w:after="100" w:afterAutospacing="1" w:line="240" w:lineRule="auto"/>
              <w:jc w:val="both"/>
              <w:outlineLvl w:val="1"/>
              <w:rPr>
                <w:rFonts w:eastAsia="Times New Roman" w:cs="Times New Roman"/>
                <w:b/>
                <w:color w:val="000000"/>
                <w:kern w:val="0"/>
                <w:sz w:val="21"/>
                <w:szCs w:val="21"/>
                <w:lang w:eastAsia="fr-FR"/>
                <w14:ligatures w14:val="none"/>
              </w:rPr>
            </w:pPr>
            <w:r w:rsidRPr="00AC2A0A">
              <w:rPr>
                <w:rFonts w:eastAsia="Times New Roman" w:cs="Times New Roman"/>
                <w:b/>
                <w:color w:val="000000"/>
                <w:kern w:val="0"/>
                <w:sz w:val="21"/>
                <w:szCs w:val="21"/>
                <w:lang w:eastAsia="fr-FR"/>
                <w14:ligatures w14:val="none"/>
              </w:rPr>
              <w:t xml:space="preserve">La décriminalisation de la consommation permet la promotion de la santé </w:t>
            </w:r>
          </w:p>
          <w:p w14:paraId="05E7A919" w14:textId="77777777" w:rsidR="009A36FC" w:rsidRDefault="009A36FC" w:rsidP="009A36FC">
            <w:pPr>
              <w:rPr>
                <w:sz w:val="21"/>
                <w:szCs w:val="21"/>
              </w:rPr>
            </w:pPr>
            <w:r>
              <w:rPr>
                <w:sz w:val="21"/>
                <w:szCs w:val="21"/>
              </w:rPr>
              <w:t xml:space="preserve">La prohibition du cannabis n’empêche pas une part importante de la population d’en consommer régulièrement. Cette consommation alimente le marché illégal, qui fournit du cannabis souvent coupé avec des produits dangereux (verre pilé, plomb, cannabinoïdes de synthèse) et dont le taux de THC est incertain. Les personnes qui consomment, particulièrement les jeunes et les personnes vulnérables, ne sollicitent pas d’aide par peur de représailles. Réguler le cannabis permet à la fois de prendre le contrôle sur la qualité des produits qui sont consommés tout en sortant les consommatrices et consommateurs de l’illégalité : nous mettons fin à une criminalisation inutile et stigmatisante de personnes qui deviennent alors encouragées à parler de leur consommation avec des professionnels de la santé. </w:t>
            </w:r>
          </w:p>
          <w:p w14:paraId="234EE6B2" w14:textId="77777777" w:rsidR="009A36FC" w:rsidRDefault="009A36FC" w:rsidP="009A36FC">
            <w:pPr>
              <w:rPr>
                <w:sz w:val="21"/>
                <w:szCs w:val="21"/>
              </w:rPr>
            </w:pPr>
          </w:p>
          <w:p w14:paraId="24F50080" w14:textId="77777777" w:rsidR="009A36FC" w:rsidRPr="009F76E9" w:rsidRDefault="009A36FC" w:rsidP="009A36FC">
            <w:pPr>
              <w:pStyle w:val="Paragraphedeliste"/>
              <w:numPr>
                <w:ilvl w:val="0"/>
                <w:numId w:val="1"/>
              </w:numPr>
              <w:spacing w:after="120" w:line="240" w:lineRule="auto"/>
              <w:jc w:val="both"/>
              <w:rPr>
                <w:b/>
                <w:sz w:val="21"/>
                <w:szCs w:val="21"/>
              </w:rPr>
            </w:pPr>
            <w:r w:rsidRPr="00AC2A0A">
              <w:rPr>
                <w:b/>
                <w:sz w:val="21"/>
                <w:szCs w:val="21"/>
              </w:rPr>
              <w:t>La régulation du cannabis renforce la sécurité publique et les libertés individuelles</w:t>
            </w:r>
          </w:p>
          <w:p w14:paraId="1833725B" w14:textId="2F9AFB3F" w:rsidR="009A36FC" w:rsidRDefault="009A36FC" w:rsidP="009A36FC">
            <w:pPr>
              <w:rPr>
                <w:sz w:val="21"/>
                <w:szCs w:val="21"/>
              </w:rPr>
            </w:pPr>
            <w:r>
              <w:rPr>
                <w:sz w:val="21"/>
                <w:szCs w:val="21"/>
              </w:rPr>
              <w:t xml:space="preserve">La consommation actuelle de cannabis bénéficie au marché illégal et aux réseaux criminels. Récupérer le marché du cannabis dans l’économie légale privera les organisations criminelles de ressources considérables : les experts du projet-pilote </w:t>
            </w:r>
            <w:proofErr w:type="spellStart"/>
            <w:r>
              <w:rPr>
                <w:sz w:val="21"/>
                <w:szCs w:val="21"/>
              </w:rPr>
              <w:t>CannL</w:t>
            </w:r>
            <w:proofErr w:type="spellEnd"/>
            <w:r>
              <w:rPr>
                <w:sz w:val="21"/>
                <w:szCs w:val="21"/>
              </w:rPr>
              <w:t xml:space="preserve"> estiment qu’en une année, le point de vente lausannois a soustrait environ un million de francs au marché illégal. La régulation des drogues est également la meilleure solution contre le deal de rue.</w:t>
            </w:r>
            <w:r w:rsidR="002F08D4">
              <w:rPr>
                <w:sz w:val="21"/>
                <w:szCs w:val="21"/>
              </w:rPr>
              <w:t xml:space="preserve"> </w:t>
            </w:r>
            <w:r>
              <w:rPr>
                <w:sz w:val="21"/>
                <w:szCs w:val="21"/>
              </w:rPr>
              <w:t xml:space="preserve">D’un autre côté, la criminalisation de la consommation de cannabis est un choix historique et arbitraire qui ne bénéficie du soutien d’aucun argument scientifique. Elle génère des conséquences négatives en stigmatisant et pénalisant les consommatrices et consommateurs qui encourent de nombreux risques. Pourtant, la consommation de cannabis n’est pas plus dangereuse que la consommation d’autres substances </w:t>
            </w:r>
            <w:r>
              <w:rPr>
                <w:sz w:val="21"/>
                <w:szCs w:val="21"/>
              </w:rPr>
              <w:lastRenderedPageBreak/>
              <w:t xml:space="preserve">légales, telles que l’alcool. Décriminaliser la consommation de cannabis protège l’autodétermination des individus et leur liberté à faire des choix éclairés pour leur santé. </w:t>
            </w:r>
          </w:p>
          <w:p w14:paraId="08B6C3FC" w14:textId="77777777" w:rsidR="009A36FC" w:rsidRDefault="009A36FC" w:rsidP="009A36FC">
            <w:pPr>
              <w:rPr>
                <w:sz w:val="21"/>
                <w:szCs w:val="21"/>
              </w:rPr>
            </w:pPr>
          </w:p>
          <w:p w14:paraId="6689537E" w14:textId="77777777" w:rsidR="009A36FC" w:rsidRPr="009F76E9" w:rsidRDefault="009A36FC" w:rsidP="009A36FC">
            <w:pPr>
              <w:pStyle w:val="Paragraphedeliste"/>
              <w:numPr>
                <w:ilvl w:val="0"/>
                <w:numId w:val="1"/>
              </w:numPr>
              <w:spacing w:after="120" w:line="240" w:lineRule="auto"/>
              <w:jc w:val="both"/>
              <w:rPr>
                <w:b/>
                <w:sz w:val="21"/>
                <w:szCs w:val="21"/>
              </w:rPr>
            </w:pPr>
            <w:r w:rsidRPr="00AC2A0A">
              <w:rPr>
                <w:b/>
                <w:sz w:val="21"/>
                <w:szCs w:val="21"/>
              </w:rPr>
              <w:t>Un modèle orienté sur la santé publique plutôt que sur les profits</w:t>
            </w:r>
          </w:p>
          <w:p w14:paraId="3D54E469" w14:textId="77777777" w:rsidR="009A36FC" w:rsidRDefault="009A36FC" w:rsidP="009A36FC">
            <w:pPr>
              <w:rPr>
                <w:sz w:val="21"/>
                <w:szCs w:val="21"/>
              </w:rPr>
            </w:pPr>
            <w:r>
              <w:rPr>
                <w:sz w:val="21"/>
                <w:szCs w:val="21"/>
              </w:rPr>
              <w:t>Le projet de loi propose un modèle de régulation avec un objectif clair : celui d’améliorer la santé publique. Il contourne le problème principal des modèles de vente d’alcool, de tabac et de jeux d’argent, qui tentent de concilier santé publique avec recherche de profits. Or, chercher à protéger la santé de la population de produits nocifs et addictogènes tout en cherchant à maximiser les revenus de leur industrie sont deux objectifs incompatibles. Le modèle de régulation du cannabis proposé ici évite cet écueil majeur : c’est même le meilleur modèle de régulation possible et le point fort principal de cette loi.</w:t>
            </w:r>
          </w:p>
          <w:p w14:paraId="7CCB6F9A" w14:textId="77777777" w:rsidR="009A36FC" w:rsidRDefault="009A36FC" w:rsidP="009A36FC">
            <w:pPr>
              <w:rPr>
                <w:sz w:val="21"/>
                <w:szCs w:val="21"/>
              </w:rPr>
            </w:pPr>
            <w:r>
              <w:rPr>
                <w:sz w:val="21"/>
                <w:szCs w:val="21"/>
              </w:rPr>
              <w:t xml:space="preserve">En permettant une culture et une production de cannabis suisse à but lucratif, la loi permet aux secteurs de l’agriculture et de la transformation des produits de trouver un intérêt à ce nouveau marché et de gagner des revenus intéressants. Combinées au principe de l’interdiction de l’intégration verticale et au système de concessions de vente à but non lucratif, l’objectif principal de la loi est sauvegardé. La vente de cannabis ne permettrait à personne de s’enrichir outre-mesure et personne ne serait tenté d’en vendre toujours plus, au détriment de la santé de la population. L’interdiction totale de la publicité, de la promotion et du </w:t>
            </w:r>
            <w:proofErr w:type="gramStart"/>
            <w:r>
              <w:rPr>
                <w:sz w:val="21"/>
                <w:szCs w:val="21"/>
              </w:rPr>
              <w:t>sponsoring</w:t>
            </w:r>
            <w:proofErr w:type="gramEnd"/>
            <w:r>
              <w:rPr>
                <w:sz w:val="21"/>
                <w:szCs w:val="21"/>
              </w:rPr>
              <w:t xml:space="preserve"> ainsi que l’autorisation de l’</w:t>
            </w:r>
            <w:proofErr w:type="spellStart"/>
            <w:r>
              <w:rPr>
                <w:sz w:val="21"/>
                <w:szCs w:val="21"/>
              </w:rPr>
              <w:t>auto-approvisionnement</w:t>
            </w:r>
            <w:proofErr w:type="spellEnd"/>
            <w:r>
              <w:rPr>
                <w:sz w:val="21"/>
                <w:szCs w:val="21"/>
              </w:rPr>
              <w:t xml:space="preserve"> vont également en ce sens. Sur le modèle des projets-pilote lausannois et genevois, le personnel des points de vente de cannabis serait formé à la réduction des risques et aurait comme premier intérêt la santé de leur clientèle. </w:t>
            </w:r>
          </w:p>
          <w:p w14:paraId="23855085" w14:textId="77777777" w:rsidR="009A36FC" w:rsidRDefault="009A36FC" w:rsidP="009A36FC">
            <w:pPr>
              <w:rPr>
                <w:sz w:val="21"/>
                <w:szCs w:val="21"/>
              </w:rPr>
            </w:pPr>
          </w:p>
          <w:p w14:paraId="4C6ED59C" w14:textId="77777777" w:rsidR="009A36FC" w:rsidRPr="009F76E9" w:rsidRDefault="009A36FC" w:rsidP="009A36FC">
            <w:pPr>
              <w:pStyle w:val="Paragraphedeliste"/>
              <w:numPr>
                <w:ilvl w:val="0"/>
                <w:numId w:val="1"/>
              </w:numPr>
              <w:spacing w:after="120" w:line="240" w:lineRule="auto"/>
              <w:jc w:val="both"/>
              <w:rPr>
                <w:b/>
                <w:sz w:val="21"/>
                <w:szCs w:val="21"/>
              </w:rPr>
            </w:pPr>
            <w:r w:rsidRPr="00AC2A0A">
              <w:rPr>
                <w:b/>
                <w:sz w:val="21"/>
                <w:szCs w:val="21"/>
              </w:rPr>
              <w:t>De nouveaux revenus pour la prévention</w:t>
            </w:r>
          </w:p>
          <w:p w14:paraId="53058C99" w14:textId="77777777" w:rsidR="009A36FC" w:rsidRDefault="009A36FC" w:rsidP="009A36FC">
            <w:pPr>
              <w:rPr>
                <w:sz w:val="21"/>
                <w:szCs w:val="21"/>
              </w:rPr>
            </w:pPr>
            <w:r>
              <w:rPr>
                <w:sz w:val="21"/>
                <w:szCs w:val="21"/>
              </w:rPr>
              <w:t>La politique suisse de la drogue repose sur les quatre piliers que sont la régulation, le traitement, la réduction des risques et la prévention. Ces quatre piliers ne sont malheureusement pas égaux et la prévention comme la réduction des risques sont largement sous-financées. La situation s’empire même en raison des mesures d’économies mises en place par la Confédération et certains cantons. La prévention devrait pourtant faire l’objet de beaucoup plus de moyens, car elle permet de diminuer les prévalences de consommation et les coûts de la santé, tout en renforçant l’autodétermination des individus.</w:t>
            </w:r>
          </w:p>
          <w:p w14:paraId="16EFBC00" w14:textId="25CEBE70" w:rsidR="009A36FC" w:rsidRDefault="009A36FC" w:rsidP="009A36FC">
            <w:pPr>
              <w:rPr>
                <w:sz w:val="21"/>
                <w:szCs w:val="21"/>
              </w:rPr>
            </w:pPr>
            <w:r>
              <w:rPr>
                <w:sz w:val="21"/>
                <w:szCs w:val="21"/>
              </w:rPr>
              <w:t xml:space="preserve">Le projet de loi, en affectant l’ensemble des bénéfices réalisés sur les ventes à des mesures liées à la prévention, à la réduction des risques et à </w:t>
            </w:r>
            <w:r w:rsidR="008B78A6">
              <w:rPr>
                <w:sz w:val="21"/>
                <w:szCs w:val="21"/>
              </w:rPr>
              <w:t>l’aide en cas</w:t>
            </w:r>
            <w:r>
              <w:rPr>
                <w:sz w:val="21"/>
                <w:szCs w:val="21"/>
              </w:rPr>
              <w:t xml:space="preserve"> </w:t>
            </w:r>
            <w:r w:rsidR="008B78A6">
              <w:rPr>
                <w:sz w:val="21"/>
                <w:szCs w:val="21"/>
              </w:rPr>
              <w:t>d’</w:t>
            </w:r>
            <w:r>
              <w:rPr>
                <w:sz w:val="21"/>
                <w:szCs w:val="21"/>
              </w:rPr>
              <w:t xml:space="preserve">addictions, apportera de nouvelles recettes nécessaires pour la mise en œuvre de la Stratégie nationale Addictions. Les taxes de surveillance et émoluments prélevés par les cantons devraient permettre, en parallèle, de financer leurs coûts d’exécution de la loi. </w:t>
            </w:r>
          </w:p>
          <w:p w14:paraId="060C0D7E" w14:textId="77777777" w:rsidR="009A36FC" w:rsidRDefault="009A36FC" w:rsidP="009A36FC">
            <w:pPr>
              <w:rPr>
                <w:sz w:val="21"/>
                <w:szCs w:val="21"/>
              </w:rPr>
            </w:pPr>
          </w:p>
          <w:p w14:paraId="176E44D0" w14:textId="77777777" w:rsidR="009A36FC" w:rsidRPr="009F76E9" w:rsidRDefault="009A36FC" w:rsidP="009A36FC">
            <w:pPr>
              <w:pStyle w:val="Paragraphedeliste"/>
              <w:numPr>
                <w:ilvl w:val="0"/>
                <w:numId w:val="1"/>
              </w:numPr>
              <w:spacing w:after="120" w:line="240" w:lineRule="auto"/>
              <w:jc w:val="both"/>
              <w:rPr>
                <w:b/>
                <w:sz w:val="21"/>
                <w:szCs w:val="21"/>
              </w:rPr>
            </w:pPr>
            <w:r w:rsidRPr="00AC2A0A">
              <w:rPr>
                <w:b/>
                <w:sz w:val="21"/>
                <w:szCs w:val="21"/>
              </w:rPr>
              <w:t>Une régulation surveillée et monitorée</w:t>
            </w:r>
          </w:p>
          <w:p w14:paraId="7C528F37" w14:textId="77777777" w:rsidR="009A36FC" w:rsidRDefault="009A36FC" w:rsidP="009A36FC">
            <w:pPr>
              <w:rPr>
                <w:sz w:val="21"/>
                <w:szCs w:val="21"/>
              </w:rPr>
            </w:pPr>
            <w:r>
              <w:rPr>
                <w:sz w:val="21"/>
                <w:szCs w:val="21"/>
              </w:rPr>
              <w:t xml:space="preserve">Le projet de loi prévoit un monitorage complet couvrant à la fois la mise en œuvre de la loi et ses effets ainsi qu’une évaluation. Ces outils de suivis sont extrêmement importants pour s’assurer que la régulation du cannabis a bien les effets escomptés. Ils permettront d’éventuellement corriger le tir si nécessaire ou de disposer d’arguments solides pour défendre le bien-fondé du modèle. De tels systèmes de monitorage font d’ailleurs cruellement défaut dans les domaines de l’alcool, du tabac et des jeux de hasard et d’argent. </w:t>
            </w:r>
          </w:p>
          <w:p w14:paraId="064D1EE7" w14:textId="77777777" w:rsidR="009A36FC" w:rsidRDefault="009A36FC" w:rsidP="009A36FC">
            <w:pPr>
              <w:rPr>
                <w:sz w:val="21"/>
                <w:szCs w:val="21"/>
              </w:rPr>
            </w:pPr>
          </w:p>
          <w:p w14:paraId="57A74960" w14:textId="77777777" w:rsidR="009A36FC" w:rsidRPr="00D34CEE" w:rsidRDefault="009A36FC" w:rsidP="009A36FC">
            <w:pPr>
              <w:pStyle w:val="Paragraphedeliste"/>
              <w:numPr>
                <w:ilvl w:val="0"/>
                <w:numId w:val="1"/>
              </w:numPr>
              <w:spacing w:after="120" w:line="280" w:lineRule="atLeast"/>
              <w:jc w:val="both"/>
              <w:rPr>
                <w:b/>
                <w:bCs/>
                <w:sz w:val="21"/>
                <w:szCs w:val="21"/>
              </w:rPr>
            </w:pPr>
            <w:r w:rsidRPr="00D34CEE">
              <w:rPr>
                <w:b/>
                <w:bCs/>
                <w:sz w:val="21"/>
                <w:szCs w:val="21"/>
              </w:rPr>
              <w:t>Conclusion</w:t>
            </w:r>
          </w:p>
          <w:p w14:paraId="47B6D053" w14:textId="79DFC23E" w:rsidR="009A36FC" w:rsidRDefault="009A36FC" w:rsidP="009A36FC">
            <w:pPr>
              <w:rPr>
                <w:sz w:val="21"/>
                <w:szCs w:val="21"/>
              </w:rPr>
            </w:pPr>
            <w:r>
              <w:rPr>
                <w:sz w:val="21"/>
                <w:szCs w:val="21"/>
              </w:rPr>
              <w:t>Le GREA soutient largement ce projet de Loi sur les produits cannabiques (</w:t>
            </w:r>
            <w:proofErr w:type="spellStart"/>
            <w:r>
              <w:rPr>
                <w:sz w:val="21"/>
                <w:szCs w:val="21"/>
              </w:rPr>
              <w:t>LPCan</w:t>
            </w:r>
            <w:proofErr w:type="spellEnd"/>
            <w:r>
              <w:rPr>
                <w:sz w:val="21"/>
                <w:szCs w:val="21"/>
              </w:rPr>
              <w:t xml:space="preserve">). Quelques modifications importantes sont néanmoins demandées afin d’améliorer encore le projet à des fins de promotion de la santé et d’autodétermination des individus. Les modifications proposées sont présentées dans le tableau ci-dessous et prévu à cet effet. </w:t>
            </w:r>
            <w:r w:rsidR="008F0602">
              <w:rPr>
                <w:sz w:val="21"/>
                <w:szCs w:val="21"/>
              </w:rPr>
              <w:t>Les</w:t>
            </w:r>
            <w:r>
              <w:rPr>
                <w:sz w:val="21"/>
                <w:szCs w:val="21"/>
              </w:rPr>
              <w:t xml:space="preserve"> modifications </w:t>
            </w:r>
            <w:r w:rsidR="008F0602">
              <w:rPr>
                <w:sz w:val="21"/>
                <w:szCs w:val="21"/>
              </w:rPr>
              <w:t>les plus importantes demandent</w:t>
            </w:r>
            <w:r>
              <w:rPr>
                <w:sz w:val="21"/>
                <w:szCs w:val="21"/>
              </w:rPr>
              <w:t> :</w:t>
            </w:r>
          </w:p>
          <w:p w14:paraId="4B62E1EF" w14:textId="77777777" w:rsidR="009A36FC" w:rsidRDefault="009A36FC" w:rsidP="009A36FC">
            <w:pPr>
              <w:pStyle w:val="Paragraphedeliste"/>
              <w:numPr>
                <w:ilvl w:val="0"/>
                <w:numId w:val="2"/>
              </w:numPr>
              <w:spacing w:after="120" w:line="280" w:lineRule="atLeast"/>
              <w:jc w:val="both"/>
              <w:rPr>
                <w:sz w:val="21"/>
                <w:szCs w:val="21"/>
              </w:rPr>
            </w:pPr>
            <w:r>
              <w:rPr>
                <w:sz w:val="21"/>
                <w:szCs w:val="21"/>
              </w:rPr>
              <w:t>Que les titulaires des concessions de vente soient des organisations d’utilité publique, sur le modèle des essais-pilotes romands</w:t>
            </w:r>
          </w:p>
          <w:p w14:paraId="2B82693D" w14:textId="77777777" w:rsidR="009A36FC" w:rsidRDefault="009A36FC" w:rsidP="009A36FC">
            <w:pPr>
              <w:pStyle w:val="Paragraphedeliste"/>
              <w:numPr>
                <w:ilvl w:val="0"/>
                <w:numId w:val="2"/>
              </w:numPr>
              <w:spacing w:after="120" w:line="280" w:lineRule="atLeast"/>
              <w:jc w:val="both"/>
              <w:rPr>
                <w:sz w:val="21"/>
                <w:szCs w:val="21"/>
              </w:rPr>
            </w:pPr>
            <w:r>
              <w:rPr>
                <w:sz w:val="21"/>
                <w:szCs w:val="21"/>
              </w:rPr>
              <w:t>Que les éventuels bénéfices excédentaires issus des ventes soient affectés aux autorités compétentes directement (cantons et OFSP) et utilisées par elles ou des ONG et non pas par les titulaires de concession de vente</w:t>
            </w:r>
          </w:p>
          <w:p w14:paraId="7EDC4053" w14:textId="048083F5" w:rsidR="00E82920" w:rsidRDefault="00E82920" w:rsidP="009A36FC">
            <w:pPr>
              <w:pStyle w:val="Paragraphedeliste"/>
              <w:numPr>
                <w:ilvl w:val="0"/>
                <w:numId w:val="2"/>
              </w:numPr>
              <w:spacing w:after="120" w:line="280" w:lineRule="atLeast"/>
              <w:jc w:val="both"/>
              <w:rPr>
                <w:sz w:val="21"/>
                <w:szCs w:val="21"/>
              </w:rPr>
            </w:pPr>
            <w:r>
              <w:rPr>
                <w:sz w:val="21"/>
                <w:szCs w:val="21"/>
              </w:rPr>
              <w:t xml:space="preserve">De s’assurer que la vente en ligne soit réellement </w:t>
            </w:r>
            <w:proofErr w:type="spellStart"/>
            <w:r>
              <w:rPr>
                <w:sz w:val="21"/>
                <w:szCs w:val="21"/>
              </w:rPr>
              <w:t>subsidaire</w:t>
            </w:r>
            <w:proofErr w:type="spellEnd"/>
            <w:r>
              <w:rPr>
                <w:sz w:val="21"/>
                <w:szCs w:val="21"/>
              </w:rPr>
              <w:t xml:space="preserve"> à la vente terrestre, par exemple avec des mesures de fixation des prix q</w:t>
            </w:r>
            <w:r w:rsidR="0098682A">
              <w:rPr>
                <w:sz w:val="21"/>
                <w:szCs w:val="21"/>
              </w:rPr>
              <w:t>ui devraient être plus élevés en ligne</w:t>
            </w:r>
          </w:p>
          <w:p w14:paraId="6AC487DA" w14:textId="77777777" w:rsidR="00E3622F" w:rsidRPr="00E3622F" w:rsidRDefault="009A36FC" w:rsidP="009A36FC">
            <w:pPr>
              <w:pStyle w:val="Paragraphedeliste"/>
              <w:numPr>
                <w:ilvl w:val="0"/>
                <w:numId w:val="2"/>
              </w:numPr>
              <w:spacing w:after="120" w:line="280" w:lineRule="atLeast"/>
              <w:jc w:val="both"/>
              <w:rPr>
                <w:sz w:val="21"/>
                <w:szCs w:val="21"/>
              </w:rPr>
            </w:pPr>
            <w:r>
              <w:rPr>
                <w:sz w:val="21"/>
                <w:szCs w:val="21"/>
              </w:rPr>
              <w:t>De donner la priorité à la production suisse de produits cannabiques en limitant l’importation</w:t>
            </w:r>
            <w:r w:rsidRPr="00841FCE">
              <w:rPr>
                <w:rFonts w:cstheme="majorHAnsi"/>
                <w:sz w:val="21"/>
                <w:szCs w:val="21"/>
              </w:rPr>
              <w:t xml:space="preserve"> </w:t>
            </w:r>
          </w:p>
          <w:p w14:paraId="107AF184" w14:textId="42A90F80" w:rsidR="00717151" w:rsidRPr="00E3622F" w:rsidRDefault="009A36FC" w:rsidP="009A36FC">
            <w:pPr>
              <w:pStyle w:val="Paragraphedeliste"/>
              <w:numPr>
                <w:ilvl w:val="0"/>
                <w:numId w:val="2"/>
              </w:numPr>
              <w:spacing w:after="120" w:line="280" w:lineRule="atLeast"/>
              <w:jc w:val="both"/>
              <w:rPr>
                <w:sz w:val="21"/>
                <w:szCs w:val="21"/>
              </w:rPr>
            </w:pPr>
            <w:r w:rsidRPr="00E3622F">
              <w:rPr>
                <w:sz w:val="21"/>
                <w:szCs w:val="21"/>
              </w:rPr>
              <w:t xml:space="preserve">De dépénaliser les infractions commises à la </w:t>
            </w:r>
            <w:proofErr w:type="spellStart"/>
            <w:r w:rsidRPr="00E3622F">
              <w:rPr>
                <w:sz w:val="21"/>
                <w:szCs w:val="21"/>
              </w:rPr>
              <w:t>LPCan</w:t>
            </w:r>
            <w:proofErr w:type="spellEnd"/>
            <w:r w:rsidRPr="00E3622F">
              <w:rPr>
                <w:sz w:val="21"/>
                <w:szCs w:val="21"/>
              </w:rPr>
              <w:t xml:space="preserve"> par des personnes mineures ainsi que de radier de tous les casiers judiciaires les infractions commises jusqu’ici qui ne seraient plus pénalisées par la </w:t>
            </w:r>
            <w:proofErr w:type="spellStart"/>
            <w:r w:rsidRPr="00E3622F">
              <w:rPr>
                <w:sz w:val="21"/>
                <w:szCs w:val="21"/>
              </w:rPr>
              <w:t>LPCan</w:t>
            </w:r>
            <w:proofErr w:type="spellEnd"/>
          </w:p>
        </w:tc>
      </w:tr>
    </w:tbl>
    <w:p w14:paraId="2EEE163B" w14:textId="0FD8AEFF" w:rsidR="004F49CA" w:rsidRPr="00717151" w:rsidRDefault="004F49CA" w:rsidP="009A3D05">
      <w:pPr>
        <w:rPr>
          <w:b/>
          <w:bCs/>
          <w:sz w:val="32"/>
          <w:szCs w:val="32"/>
        </w:rPr>
      </w:pPr>
    </w:p>
    <w:p w14:paraId="06BE3300" w14:textId="77777777" w:rsidR="004F49CA" w:rsidRPr="00717151" w:rsidRDefault="004F49CA">
      <w:pPr>
        <w:spacing w:after="160" w:line="259" w:lineRule="auto"/>
        <w:rPr>
          <w:b/>
          <w:bCs/>
          <w:sz w:val="32"/>
          <w:szCs w:val="32"/>
        </w:rPr>
      </w:pPr>
      <w:r w:rsidRPr="00717151">
        <w:rPr>
          <w:b/>
          <w:bCs/>
          <w:sz w:val="32"/>
          <w:szCs w:val="32"/>
        </w:rPr>
        <w:br w:type="page"/>
      </w:r>
    </w:p>
    <w:tbl>
      <w:tblPr>
        <w:tblStyle w:val="Grilledutableau"/>
        <w:tblW w:w="14312" w:type="dxa"/>
        <w:tblLook w:val="04A0" w:firstRow="1" w:lastRow="0" w:firstColumn="1" w:lastColumn="0" w:noHBand="0" w:noVBand="1"/>
      </w:tblPr>
      <w:tblGrid>
        <w:gridCol w:w="729"/>
        <w:gridCol w:w="708"/>
        <w:gridCol w:w="708"/>
        <w:gridCol w:w="6650"/>
        <w:gridCol w:w="5517"/>
      </w:tblGrid>
      <w:tr w:rsidR="00C75900" w:rsidRPr="00717151" w14:paraId="33147FB1" w14:textId="77777777" w:rsidTr="006565AE">
        <w:tc>
          <w:tcPr>
            <w:tcW w:w="14312" w:type="dxa"/>
            <w:gridSpan w:val="5"/>
            <w:shd w:val="clear" w:color="auto" w:fill="DAE9F7" w:themeFill="text2" w:themeFillTint="1A"/>
          </w:tcPr>
          <w:p w14:paraId="0C80AC7B" w14:textId="7BCDFCA1" w:rsidR="00A6049C" w:rsidRPr="00717151" w:rsidRDefault="00704C7C" w:rsidP="009A3D05">
            <w:pPr>
              <w:rPr>
                <w:b/>
                <w:bCs/>
              </w:rPr>
            </w:pPr>
            <w:r w:rsidRPr="00717151">
              <w:rPr>
                <w:b/>
                <w:bCs/>
              </w:rPr>
              <w:lastRenderedPageBreak/>
              <w:t>Avant-projet de l</w:t>
            </w:r>
            <w:r w:rsidR="0026308A" w:rsidRPr="00717151">
              <w:rPr>
                <w:b/>
                <w:bCs/>
              </w:rPr>
              <w:t>oi sur les produits cannabiques (</w:t>
            </w:r>
            <w:proofErr w:type="spellStart"/>
            <w:r w:rsidR="0026308A" w:rsidRPr="00717151">
              <w:rPr>
                <w:b/>
                <w:bCs/>
              </w:rPr>
              <w:t>LPCan</w:t>
            </w:r>
            <w:proofErr w:type="spellEnd"/>
            <w:r w:rsidR="0026308A" w:rsidRPr="00717151">
              <w:rPr>
                <w:b/>
                <w:bCs/>
              </w:rPr>
              <w:t>)</w:t>
            </w:r>
          </w:p>
          <w:p w14:paraId="0991A285" w14:textId="3511F92D" w:rsidR="00A6049C" w:rsidRPr="00717151" w:rsidRDefault="00A6049C" w:rsidP="009A3D05">
            <w:pPr>
              <w:rPr>
                <w:b/>
                <w:bCs/>
                <w:sz w:val="24"/>
                <w:szCs w:val="24"/>
              </w:rPr>
            </w:pPr>
          </w:p>
        </w:tc>
      </w:tr>
      <w:tr w:rsidR="00222A75" w:rsidRPr="00717151" w14:paraId="3B518991" w14:textId="77777777" w:rsidTr="0077201D">
        <w:tc>
          <w:tcPr>
            <w:tcW w:w="729" w:type="dxa"/>
          </w:tcPr>
          <w:p w14:paraId="7E795FCC" w14:textId="52E06B09" w:rsidR="00A6049C" w:rsidRPr="00717151" w:rsidRDefault="0026308A" w:rsidP="009A3D05">
            <w:pPr>
              <w:rPr>
                <w:b/>
                <w:bCs/>
                <w:sz w:val="44"/>
                <w:szCs w:val="44"/>
              </w:rPr>
            </w:pPr>
            <w:r w:rsidRPr="00717151">
              <w:rPr>
                <w:b/>
                <w:bCs/>
                <w:sz w:val="20"/>
                <w:szCs w:val="20"/>
              </w:rPr>
              <w:t>a</w:t>
            </w:r>
            <w:r w:rsidR="00A6049C" w:rsidRPr="00717151">
              <w:rPr>
                <w:b/>
                <w:bCs/>
                <w:sz w:val="20"/>
                <w:szCs w:val="20"/>
              </w:rPr>
              <w:t xml:space="preserve">rt. </w:t>
            </w:r>
          </w:p>
        </w:tc>
        <w:tc>
          <w:tcPr>
            <w:tcW w:w="708" w:type="dxa"/>
          </w:tcPr>
          <w:p w14:paraId="662F2557" w14:textId="2EC109CA" w:rsidR="00A6049C" w:rsidRPr="00717151" w:rsidRDefault="0026308A" w:rsidP="009A3D05">
            <w:pPr>
              <w:rPr>
                <w:b/>
                <w:bCs/>
                <w:sz w:val="20"/>
                <w:szCs w:val="20"/>
              </w:rPr>
            </w:pPr>
            <w:proofErr w:type="gramStart"/>
            <w:r w:rsidRPr="00717151">
              <w:rPr>
                <w:b/>
                <w:bCs/>
                <w:sz w:val="20"/>
                <w:szCs w:val="20"/>
              </w:rPr>
              <w:t>al</w:t>
            </w:r>
            <w:proofErr w:type="gramEnd"/>
            <w:r w:rsidRPr="00717151">
              <w:rPr>
                <w:b/>
                <w:bCs/>
                <w:sz w:val="20"/>
                <w:szCs w:val="20"/>
              </w:rPr>
              <w:t xml:space="preserve">. </w:t>
            </w:r>
          </w:p>
        </w:tc>
        <w:tc>
          <w:tcPr>
            <w:tcW w:w="708" w:type="dxa"/>
          </w:tcPr>
          <w:p w14:paraId="4505D697" w14:textId="78B83FFA" w:rsidR="00A6049C" w:rsidRPr="00717151" w:rsidRDefault="0026308A" w:rsidP="009A3D05">
            <w:pPr>
              <w:rPr>
                <w:b/>
                <w:bCs/>
                <w:sz w:val="20"/>
                <w:szCs w:val="20"/>
              </w:rPr>
            </w:pPr>
            <w:proofErr w:type="gramStart"/>
            <w:r w:rsidRPr="00717151">
              <w:rPr>
                <w:b/>
                <w:bCs/>
                <w:sz w:val="20"/>
                <w:szCs w:val="20"/>
              </w:rPr>
              <w:t>let</w:t>
            </w:r>
            <w:proofErr w:type="gramEnd"/>
            <w:r w:rsidRPr="00717151">
              <w:rPr>
                <w:b/>
                <w:bCs/>
                <w:sz w:val="20"/>
                <w:szCs w:val="20"/>
              </w:rPr>
              <w:t>.</w:t>
            </w:r>
          </w:p>
        </w:tc>
        <w:tc>
          <w:tcPr>
            <w:tcW w:w="6650" w:type="dxa"/>
          </w:tcPr>
          <w:p w14:paraId="115D12EB" w14:textId="3A7B1746" w:rsidR="00A6049C" w:rsidRPr="00717151" w:rsidRDefault="0026308A" w:rsidP="009A3D05">
            <w:pPr>
              <w:rPr>
                <w:b/>
                <w:bCs/>
                <w:sz w:val="44"/>
                <w:szCs w:val="44"/>
              </w:rPr>
            </w:pPr>
            <w:r w:rsidRPr="00717151">
              <w:rPr>
                <w:b/>
                <w:bCs/>
                <w:sz w:val="20"/>
                <w:szCs w:val="20"/>
              </w:rPr>
              <w:t>Commentaires / remarques</w:t>
            </w:r>
          </w:p>
        </w:tc>
        <w:tc>
          <w:tcPr>
            <w:tcW w:w="5517" w:type="dxa"/>
          </w:tcPr>
          <w:p w14:paraId="5E8BFC0E" w14:textId="094BD128" w:rsidR="00A6049C" w:rsidRPr="00717151" w:rsidRDefault="0026308A" w:rsidP="00C75900">
            <w:pPr>
              <w:rPr>
                <w:b/>
                <w:bCs/>
                <w:sz w:val="44"/>
                <w:szCs w:val="44"/>
              </w:rPr>
            </w:pPr>
            <w:r w:rsidRPr="00717151">
              <w:rPr>
                <w:b/>
                <w:bCs/>
                <w:sz w:val="20"/>
                <w:szCs w:val="20"/>
              </w:rPr>
              <w:t xml:space="preserve">Propositions de modifications </w:t>
            </w:r>
            <w:r w:rsidR="00604FFE" w:rsidRPr="00717151">
              <w:rPr>
                <w:b/>
                <w:bCs/>
                <w:sz w:val="20"/>
                <w:szCs w:val="20"/>
              </w:rPr>
              <w:t>(texte proposé)</w:t>
            </w:r>
          </w:p>
        </w:tc>
      </w:tr>
      <w:tr w:rsidR="00C75900" w:rsidRPr="00717151" w14:paraId="21D4B86A" w14:textId="77777777" w:rsidTr="0077201D">
        <w:trPr>
          <w:trHeight w:val="510"/>
        </w:trPr>
        <w:tc>
          <w:tcPr>
            <w:tcW w:w="729" w:type="dxa"/>
          </w:tcPr>
          <w:p w14:paraId="15B2DBF8" w14:textId="6670CDD3" w:rsidR="00A6049C" w:rsidRPr="00A5371A" w:rsidRDefault="00581F30" w:rsidP="009A3D05">
            <w:pPr>
              <w:rPr>
                <w:b/>
                <w:bCs/>
                <w:sz w:val="20"/>
                <w:szCs w:val="20"/>
              </w:rPr>
            </w:pPr>
            <w:r>
              <w:rPr>
                <w:b/>
                <w:bCs/>
                <w:sz w:val="20"/>
                <w:szCs w:val="20"/>
              </w:rPr>
              <w:t>1</w:t>
            </w:r>
          </w:p>
        </w:tc>
        <w:tc>
          <w:tcPr>
            <w:tcW w:w="708" w:type="dxa"/>
          </w:tcPr>
          <w:p w14:paraId="74F30CE1" w14:textId="77777777" w:rsidR="00A6049C" w:rsidRPr="00A5371A" w:rsidRDefault="00A6049C" w:rsidP="009A3D05">
            <w:pPr>
              <w:rPr>
                <w:b/>
                <w:bCs/>
                <w:sz w:val="20"/>
                <w:szCs w:val="20"/>
              </w:rPr>
            </w:pPr>
          </w:p>
        </w:tc>
        <w:tc>
          <w:tcPr>
            <w:tcW w:w="708" w:type="dxa"/>
          </w:tcPr>
          <w:p w14:paraId="6754E3D7" w14:textId="77777777" w:rsidR="00A6049C" w:rsidRPr="00A5371A" w:rsidRDefault="00A6049C" w:rsidP="009A3D05">
            <w:pPr>
              <w:rPr>
                <w:b/>
                <w:bCs/>
                <w:sz w:val="20"/>
                <w:szCs w:val="20"/>
              </w:rPr>
            </w:pPr>
          </w:p>
        </w:tc>
        <w:tc>
          <w:tcPr>
            <w:tcW w:w="6650" w:type="dxa"/>
          </w:tcPr>
          <w:p w14:paraId="0B961575" w14:textId="77777777" w:rsidR="00A258DE" w:rsidRDefault="00A258DE" w:rsidP="00A258DE">
            <w:pPr>
              <w:rPr>
                <w:sz w:val="21"/>
                <w:szCs w:val="21"/>
              </w:rPr>
            </w:pPr>
            <w:r>
              <w:rPr>
                <w:sz w:val="21"/>
                <w:szCs w:val="21"/>
              </w:rPr>
              <w:t>Le GREA soutient l’art. 1 et les buts de la loi qui sont justes et cohérents. Il ne soutient pas la proposition de la minorité (art. 1 let a</w:t>
            </w:r>
            <w:r w:rsidRPr="005733BA">
              <w:rPr>
                <w:sz w:val="21"/>
                <w:szCs w:val="21"/>
                <w:vertAlign w:val="superscript"/>
              </w:rPr>
              <w:t>0</w:t>
            </w:r>
            <w:r>
              <w:rPr>
                <w:sz w:val="21"/>
                <w:szCs w:val="21"/>
              </w:rPr>
              <w:t xml:space="preserve">), car les lettres </w:t>
            </w:r>
            <w:proofErr w:type="gramStart"/>
            <w:r>
              <w:rPr>
                <w:sz w:val="21"/>
                <w:szCs w:val="21"/>
              </w:rPr>
              <w:t>a à d sont</w:t>
            </w:r>
            <w:proofErr w:type="gramEnd"/>
            <w:r>
              <w:rPr>
                <w:sz w:val="21"/>
                <w:szCs w:val="21"/>
              </w:rPr>
              <w:t xml:space="preserve"> suffisantes. </w:t>
            </w:r>
          </w:p>
          <w:p w14:paraId="17C1D291" w14:textId="77777777" w:rsidR="00A258DE" w:rsidRDefault="00A258DE" w:rsidP="00A258DE">
            <w:pPr>
              <w:rPr>
                <w:sz w:val="21"/>
                <w:szCs w:val="21"/>
              </w:rPr>
            </w:pPr>
            <w:r>
              <w:rPr>
                <w:sz w:val="21"/>
                <w:szCs w:val="21"/>
              </w:rPr>
              <w:t xml:space="preserve">Le GREA estime en revanche que l’avant-projet oublie un aspect important de la régulation du cannabis : celui de la transition des acteurs du marché illégal vers l’économie légale. Nous estimons que la </w:t>
            </w:r>
            <w:proofErr w:type="spellStart"/>
            <w:r>
              <w:rPr>
                <w:sz w:val="21"/>
                <w:szCs w:val="21"/>
              </w:rPr>
              <w:t>LPCan</w:t>
            </w:r>
            <w:proofErr w:type="spellEnd"/>
            <w:r>
              <w:rPr>
                <w:sz w:val="21"/>
                <w:szCs w:val="21"/>
              </w:rPr>
              <w:t xml:space="preserve"> devrait permettre de restaurer les torts commis aux personnes qui sont encore inutilement criminalisées en levant les condamnations en cours, en prévoyant des actes de réparation (par exemple l’effacement des infractions à la </w:t>
            </w:r>
            <w:proofErr w:type="spellStart"/>
            <w:r>
              <w:rPr>
                <w:sz w:val="21"/>
                <w:szCs w:val="21"/>
              </w:rPr>
              <w:t>LStup</w:t>
            </w:r>
            <w:proofErr w:type="spellEnd"/>
            <w:r>
              <w:rPr>
                <w:sz w:val="21"/>
                <w:szCs w:val="21"/>
              </w:rPr>
              <w:t xml:space="preserve"> liées au cannabis du casier judiciaire) et en accompagnant les personnes qui vivent actuellement du commerce illégal de cannabis dans l’économie légale. </w:t>
            </w:r>
          </w:p>
          <w:p w14:paraId="01B7CCD6" w14:textId="77777777" w:rsidR="00A258DE" w:rsidRDefault="00A258DE" w:rsidP="00A258DE">
            <w:pPr>
              <w:rPr>
                <w:sz w:val="21"/>
                <w:szCs w:val="21"/>
              </w:rPr>
            </w:pPr>
            <w:r>
              <w:rPr>
                <w:sz w:val="21"/>
                <w:szCs w:val="21"/>
              </w:rPr>
              <w:t xml:space="preserve">La prohibition du cannabis, injuste et injustifiée, cause beaucoup de torts et de dommages à des personnes souvent précarisées et racisées. La régulation du cannabis est non seulement l’occasion de réparer les torts commis inutilement, mais aussi de bénéficier du savoir acquis par ces personnes de manière informelle. Une lutte efficace contre le marché illégal doit s’accompagner de l’intégration de ses acteurs dans l’économie légale pour éviter que ceux-ci ne se tournent vers le commerce illégal d’autres substances plus dangereuses. </w:t>
            </w:r>
          </w:p>
          <w:p w14:paraId="09AD6D53" w14:textId="0339DE26" w:rsidR="00A6049C" w:rsidRPr="00A5371A" w:rsidRDefault="00A258DE" w:rsidP="00A258DE">
            <w:pPr>
              <w:rPr>
                <w:b/>
                <w:bCs/>
                <w:sz w:val="20"/>
                <w:szCs w:val="20"/>
              </w:rPr>
            </w:pPr>
            <w:r>
              <w:rPr>
                <w:sz w:val="21"/>
                <w:szCs w:val="21"/>
              </w:rPr>
              <w:t xml:space="preserve">Si ce but est ajouté à l’art. 1 de la </w:t>
            </w:r>
            <w:proofErr w:type="spellStart"/>
            <w:r>
              <w:rPr>
                <w:sz w:val="21"/>
                <w:szCs w:val="21"/>
              </w:rPr>
              <w:t>LPCan</w:t>
            </w:r>
            <w:proofErr w:type="spellEnd"/>
            <w:r>
              <w:rPr>
                <w:sz w:val="21"/>
                <w:szCs w:val="21"/>
              </w:rPr>
              <w:t>, il conviendra évidemment de traduire ce but en mesures concrètes dans l’avant-projet. Cela pourrait par exemple passer par l’encouragement des titulaires d’autorisation de production et de vente à faire appel à cette main d’œuvre au bénéfice d’un important savoir expérientiel.</w:t>
            </w:r>
          </w:p>
        </w:tc>
        <w:tc>
          <w:tcPr>
            <w:tcW w:w="5517" w:type="dxa"/>
          </w:tcPr>
          <w:p w14:paraId="3C81DE98" w14:textId="77777777" w:rsidR="00647C89" w:rsidRPr="007D24E4" w:rsidRDefault="00647C89" w:rsidP="00647C89">
            <w:pPr>
              <w:rPr>
                <w:sz w:val="21"/>
                <w:szCs w:val="21"/>
              </w:rPr>
            </w:pPr>
            <w:r w:rsidRPr="007D24E4">
              <w:rPr>
                <w:b/>
                <w:bCs/>
                <w:sz w:val="21"/>
                <w:szCs w:val="21"/>
              </w:rPr>
              <w:t xml:space="preserve">Art. 1 </w:t>
            </w:r>
            <w:r w:rsidRPr="007D24E4">
              <w:rPr>
                <w:sz w:val="21"/>
                <w:szCs w:val="21"/>
              </w:rPr>
              <w:t>But</w:t>
            </w:r>
          </w:p>
          <w:p w14:paraId="5D453D51" w14:textId="77777777" w:rsidR="00647C89" w:rsidRPr="007D24E4" w:rsidRDefault="00647C89" w:rsidP="00647C89">
            <w:pPr>
              <w:rPr>
                <w:sz w:val="21"/>
                <w:szCs w:val="21"/>
              </w:rPr>
            </w:pPr>
            <w:r w:rsidRPr="007D24E4">
              <w:rPr>
                <w:sz w:val="21"/>
                <w:szCs w:val="21"/>
              </w:rPr>
              <w:t xml:space="preserve">La présente loi a pour but : </w:t>
            </w:r>
          </w:p>
          <w:p w14:paraId="74C440B6" w14:textId="77777777" w:rsidR="00647C89" w:rsidRPr="007D24E4" w:rsidRDefault="00647C89" w:rsidP="00647C89">
            <w:pPr>
              <w:rPr>
                <w:sz w:val="21"/>
                <w:szCs w:val="21"/>
              </w:rPr>
            </w:pPr>
          </w:p>
          <w:p w14:paraId="5D47AD6B" w14:textId="0C813191" w:rsidR="00A6049C" w:rsidRPr="007D24E4" w:rsidRDefault="00E14302" w:rsidP="00647C89">
            <w:pPr>
              <w:rPr>
                <w:b/>
                <w:bCs/>
                <w:sz w:val="20"/>
                <w:szCs w:val="20"/>
              </w:rPr>
            </w:pPr>
            <w:proofErr w:type="gramStart"/>
            <w:r w:rsidRPr="007D24E4">
              <w:rPr>
                <w:sz w:val="21"/>
                <w:szCs w:val="21"/>
              </w:rPr>
              <w:t>let</w:t>
            </w:r>
            <w:proofErr w:type="gramEnd"/>
            <w:r w:rsidRPr="007D24E4">
              <w:rPr>
                <w:sz w:val="21"/>
                <w:szCs w:val="21"/>
              </w:rPr>
              <w:t xml:space="preserve">. </w:t>
            </w:r>
            <w:r w:rsidR="00647C89" w:rsidRPr="007D24E4">
              <w:rPr>
                <w:sz w:val="21"/>
                <w:szCs w:val="21"/>
              </w:rPr>
              <w:t>f. (nouveau) d’assurer une transition équitable par l’accompagnement des acteurs du marché illégal vers l’économie légale et l’effacement des condamnations antérieures liées au cannabis.</w:t>
            </w:r>
          </w:p>
        </w:tc>
      </w:tr>
      <w:tr w:rsidR="00C75900" w:rsidRPr="00717151" w14:paraId="309EA739" w14:textId="77777777" w:rsidTr="0077201D">
        <w:trPr>
          <w:trHeight w:val="510"/>
        </w:trPr>
        <w:tc>
          <w:tcPr>
            <w:tcW w:w="729" w:type="dxa"/>
          </w:tcPr>
          <w:p w14:paraId="4A2AC7BE" w14:textId="536C26A6" w:rsidR="00A6049C" w:rsidRPr="00A5371A" w:rsidRDefault="000D3448" w:rsidP="009A3D05">
            <w:pPr>
              <w:rPr>
                <w:b/>
                <w:bCs/>
                <w:sz w:val="20"/>
                <w:szCs w:val="20"/>
              </w:rPr>
            </w:pPr>
            <w:r>
              <w:rPr>
                <w:b/>
                <w:bCs/>
                <w:sz w:val="20"/>
                <w:szCs w:val="20"/>
              </w:rPr>
              <w:t>6</w:t>
            </w:r>
          </w:p>
        </w:tc>
        <w:tc>
          <w:tcPr>
            <w:tcW w:w="708" w:type="dxa"/>
          </w:tcPr>
          <w:p w14:paraId="1D18A382" w14:textId="54222EF6" w:rsidR="00A6049C" w:rsidRPr="00A5371A" w:rsidRDefault="00A6049C" w:rsidP="009A3D05">
            <w:pPr>
              <w:rPr>
                <w:b/>
                <w:bCs/>
                <w:sz w:val="20"/>
                <w:szCs w:val="20"/>
              </w:rPr>
            </w:pPr>
          </w:p>
        </w:tc>
        <w:tc>
          <w:tcPr>
            <w:tcW w:w="708" w:type="dxa"/>
          </w:tcPr>
          <w:p w14:paraId="58EE3412" w14:textId="77777777" w:rsidR="00A6049C" w:rsidRPr="00A5371A" w:rsidRDefault="00A6049C" w:rsidP="009A3D05">
            <w:pPr>
              <w:rPr>
                <w:b/>
                <w:bCs/>
                <w:sz w:val="20"/>
                <w:szCs w:val="20"/>
              </w:rPr>
            </w:pPr>
          </w:p>
        </w:tc>
        <w:tc>
          <w:tcPr>
            <w:tcW w:w="6650" w:type="dxa"/>
          </w:tcPr>
          <w:p w14:paraId="7713A297" w14:textId="77777777" w:rsidR="000D3448" w:rsidRPr="00686CCC" w:rsidRDefault="000D3448" w:rsidP="000D3448">
            <w:pPr>
              <w:rPr>
                <w:sz w:val="21"/>
                <w:szCs w:val="21"/>
              </w:rPr>
            </w:pPr>
            <w:r w:rsidRPr="00686CCC">
              <w:rPr>
                <w:sz w:val="21"/>
                <w:szCs w:val="21"/>
              </w:rPr>
              <w:t xml:space="preserve">Cet article donne au Conseil fédéral la possibilité d'adapter rapidement la loi aux innovations dans les produits cannabis sans </w:t>
            </w:r>
            <w:r w:rsidRPr="00686CCC">
              <w:rPr>
                <w:sz w:val="21"/>
                <w:szCs w:val="21"/>
              </w:rPr>
              <w:lastRenderedPageBreak/>
              <w:t>devoir modifier la loi elle-même.</w:t>
            </w:r>
            <w:r>
              <w:rPr>
                <w:sz w:val="21"/>
                <w:szCs w:val="21"/>
              </w:rPr>
              <w:t xml:space="preserve"> </w:t>
            </w:r>
            <w:r w:rsidRPr="004665B7">
              <w:rPr>
                <w:sz w:val="21"/>
                <w:szCs w:val="21"/>
              </w:rPr>
              <w:t>Cette flexibilité correspond à l'approche pragmatique et scientifique prônée par le GREA.</w:t>
            </w:r>
          </w:p>
          <w:p w14:paraId="663DA009" w14:textId="47517776" w:rsidR="00A6049C" w:rsidRPr="00A5371A" w:rsidRDefault="000D3448" w:rsidP="000D3448">
            <w:pPr>
              <w:rPr>
                <w:b/>
                <w:bCs/>
                <w:sz w:val="20"/>
                <w:szCs w:val="20"/>
              </w:rPr>
            </w:pPr>
            <w:r w:rsidRPr="006D0890">
              <w:rPr>
                <w:sz w:val="21"/>
                <w:szCs w:val="21"/>
              </w:rPr>
              <w:t>Dans ce sens, les cannabinoïdes synthétiques ne doivent pas être interdits par principe. Toutefois, vu leur danger actuel, leur mise sur le marché devrait être soumise à une autorisation spécifique, notamment pour les usages médicaux, scientifiques ou à faible risque, sous contrôle de l’autorité compétente</w:t>
            </w:r>
          </w:p>
        </w:tc>
        <w:tc>
          <w:tcPr>
            <w:tcW w:w="5517" w:type="dxa"/>
          </w:tcPr>
          <w:p w14:paraId="61874E3D" w14:textId="4B7DA3FA" w:rsidR="00222A75" w:rsidRPr="007D24E4" w:rsidRDefault="00222A75" w:rsidP="00222A75">
            <w:pPr>
              <w:rPr>
                <w:sz w:val="21"/>
                <w:szCs w:val="21"/>
              </w:rPr>
            </w:pPr>
            <w:r w:rsidRPr="007D24E4">
              <w:rPr>
                <w:b/>
                <w:bCs/>
                <w:sz w:val="21"/>
                <w:szCs w:val="21"/>
              </w:rPr>
              <w:lastRenderedPageBreak/>
              <w:t xml:space="preserve">Art. 6 </w:t>
            </w:r>
            <w:r w:rsidRPr="007D24E4">
              <w:rPr>
                <w:sz w:val="21"/>
                <w:szCs w:val="21"/>
              </w:rPr>
              <w:t xml:space="preserve">Produits cannabiques de type nouveau </w:t>
            </w:r>
          </w:p>
          <w:p w14:paraId="65315534" w14:textId="7B66F489" w:rsidR="00A6049C" w:rsidRPr="007D24E4" w:rsidRDefault="00222A75" w:rsidP="00222A75">
            <w:pPr>
              <w:rPr>
                <w:b/>
                <w:bCs/>
                <w:sz w:val="20"/>
                <w:szCs w:val="20"/>
              </w:rPr>
            </w:pPr>
            <w:r w:rsidRPr="007D24E4">
              <w:rPr>
                <w:sz w:val="21"/>
                <w:szCs w:val="21"/>
                <w:vertAlign w:val="superscript"/>
              </w:rPr>
              <w:t>3</w:t>
            </w:r>
            <w:r w:rsidRPr="007D24E4">
              <w:rPr>
                <w:sz w:val="21"/>
                <w:szCs w:val="21"/>
              </w:rPr>
              <w:t xml:space="preserve"> </w:t>
            </w:r>
            <w:r w:rsidR="00F55409" w:rsidRPr="007D24E4">
              <w:rPr>
                <w:sz w:val="21"/>
                <w:szCs w:val="21"/>
              </w:rPr>
              <w:t xml:space="preserve">(nouveau) </w:t>
            </w:r>
            <w:r w:rsidRPr="007D24E4">
              <w:rPr>
                <w:sz w:val="21"/>
                <w:szCs w:val="21"/>
              </w:rPr>
              <w:t xml:space="preserve">Les cannabinoïdes synthétiques constituent une catégorie spécifique de produits cannabiques. Leur </w:t>
            </w:r>
            <w:r w:rsidRPr="007D24E4">
              <w:rPr>
                <w:sz w:val="21"/>
                <w:szCs w:val="21"/>
              </w:rPr>
              <w:lastRenderedPageBreak/>
              <w:t xml:space="preserve">mise sur le marché est soumise à une autorisation </w:t>
            </w:r>
            <w:r w:rsidR="00F55409" w:rsidRPr="007D24E4">
              <w:rPr>
                <w:sz w:val="21"/>
                <w:szCs w:val="21"/>
              </w:rPr>
              <w:t>spéciale</w:t>
            </w:r>
            <w:r w:rsidRPr="007D24E4">
              <w:rPr>
                <w:sz w:val="21"/>
                <w:szCs w:val="21"/>
              </w:rPr>
              <w:t xml:space="preserve"> de l'autorité fédérale compétente.</w:t>
            </w:r>
          </w:p>
        </w:tc>
      </w:tr>
      <w:tr w:rsidR="005856D1" w:rsidRPr="00717151" w14:paraId="065EC28F" w14:textId="77777777" w:rsidTr="0077201D">
        <w:trPr>
          <w:trHeight w:val="510"/>
        </w:trPr>
        <w:tc>
          <w:tcPr>
            <w:tcW w:w="729" w:type="dxa"/>
          </w:tcPr>
          <w:p w14:paraId="6A12E7EE" w14:textId="77777777" w:rsidR="005856D1" w:rsidRPr="00A5371A" w:rsidRDefault="005856D1" w:rsidP="005856D1">
            <w:pPr>
              <w:rPr>
                <w:b/>
                <w:bCs/>
                <w:sz w:val="20"/>
                <w:szCs w:val="20"/>
              </w:rPr>
            </w:pPr>
          </w:p>
        </w:tc>
        <w:tc>
          <w:tcPr>
            <w:tcW w:w="708" w:type="dxa"/>
          </w:tcPr>
          <w:p w14:paraId="725875D1" w14:textId="77777777" w:rsidR="005856D1" w:rsidRPr="00A5371A" w:rsidRDefault="005856D1" w:rsidP="005856D1">
            <w:pPr>
              <w:rPr>
                <w:b/>
                <w:bCs/>
                <w:sz w:val="20"/>
                <w:szCs w:val="20"/>
              </w:rPr>
            </w:pPr>
          </w:p>
        </w:tc>
        <w:tc>
          <w:tcPr>
            <w:tcW w:w="708" w:type="dxa"/>
          </w:tcPr>
          <w:p w14:paraId="46ACC365" w14:textId="77777777" w:rsidR="005856D1" w:rsidRPr="00A5371A" w:rsidRDefault="005856D1" w:rsidP="005856D1">
            <w:pPr>
              <w:rPr>
                <w:b/>
                <w:bCs/>
                <w:sz w:val="20"/>
                <w:szCs w:val="20"/>
              </w:rPr>
            </w:pPr>
          </w:p>
        </w:tc>
        <w:tc>
          <w:tcPr>
            <w:tcW w:w="6650" w:type="dxa"/>
          </w:tcPr>
          <w:p w14:paraId="62DFEC92" w14:textId="77777777" w:rsidR="005856D1" w:rsidRDefault="003B0FD8" w:rsidP="005856D1">
            <w:pPr>
              <w:rPr>
                <w:b/>
                <w:bCs/>
                <w:sz w:val="20"/>
                <w:szCs w:val="20"/>
              </w:rPr>
            </w:pPr>
            <w:r>
              <w:rPr>
                <w:b/>
                <w:bCs/>
                <w:sz w:val="20"/>
                <w:szCs w:val="20"/>
              </w:rPr>
              <w:t xml:space="preserve">Chapitre 3 </w:t>
            </w:r>
            <w:proofErr w:type="spellStart"/>
            <w:r>
              <w:rPr>
                <w:b/>
                <w:bCs/>
                <w:sz w:val="20"/>
                <w:szCs w:val="20"/>
              </w:rPr>
              <w:t>Auto-approvisionnement</w:t>
            </w:r>
            <w:proofErr w:type="spellEnd"/>
          </w:p>
          <w:p w14:paraId="43837F92" w14:textId="2D2B532B" w:rsidR="004D45C4" w:rsidRPr="00730D0B" w:rsidRDefault="004D45C4" w:rsidP="004D45C4">
            <w:pPr>
              <w:rPr>
                <w:sz w:val="21"/>
                <w:szCs w:val="21"/>
              </w:rPr>
            </w:pPr>
            <w:r>
              <w:rPr>
                <w:sz w:val="21"/>
                <w:szCs w:val="21"/>
              </w:rPr>
              <w:t>La minorité propose de compléter l’avant-projet afin d’autoriser l’</w:t>
            </w:r>
            <w:proofErr w:type="spellStart"/>
            <w:r>
              <w:rPr>
                <w:sz w:val="21"/>
                <w:szCs w:val="21"/>
              </w:rPr>
              <w:t>auto-approvisionnement</w:t>
            </w:r>
            <w:proofErr w:type="spellEnd"/>
            <w:r>
              <w:rPr>
                <w:sz w:val="21"/>
                <w:szCs w:val="21"/>
              </w:rPr>
              <w:t xml:space="preserve"> par la culture en association (appelée aussi </w:t>
            </w:r>
            <w:r>
              <w:rPr>
                <w:i/>
                <w:iCs/>
                <w:sz w:val="21"/>
                <w:szCs w:val="21"/>
              </w:rPr>
              <w:t>Cannabis social clubs</w:t>
            </w:r>
            <w:r>
              <w:rPr>
                <w:sz w:val="21"/>
                <w:szCs w:val="21"/>
              </w:rPr>
              <w:t>). Ces associations de culture</w:t>
            </w:r>
            <w:r w:rsidRPr="00730D0B">
              <w:rPr>
                <w:sz w:val="21"/>
                <w:szCs w:val="21"/>
              </w:rPr>
              <w:t xml:space="preserve"> permettraient à des </w:t>
            </w:r>
            <w:r>
              <w:rPr>
                <w:sz w:val="21"/>
                <w:szCs w:val="21"/>
              </w:rPr>
              <w:t xml:space="preserve">consommatrices et </w:t>
            </w:r>
            <w:r w:rsidRPr="00730D0B">
              <w:rPr>
                <w:sz w:val="21"/>
                <w:szCs w:val="21"/>
              </w:rPr>
              <w:t xml:space="preserve">consommateurs de se regrouper pour cultiver ensemble leur cannabis, offrant une alternative </w:t>
            </w:r>
            <w:r>
              <w:rPr>
                <w:sz w:val="21"/>
                <w:szCs w:val="21"/>
              </w:rPr>
              <w:t xml:space="preserve">intermédiaire </w:t>
            </w:r>
            <w:r w:rsidRPr="00730D0B">
              <w:rPr>
                <w:sz w:val="21"/>
                <w:szCs w:val="21"/>
              </w:rPr>
              <w:t>entre autoproduction individuelle et achat commercial.</w:t>
            </w:r>
          </w:p>
          <w:p w14:paraId="26C1D869" w14:textId="77777777" w:rsidR="004D45C4" w:rsidRPr="00DC19B1" w:rsidRDefault="004D45C4" w:rsidP="004D45C4">
            <w:pPr>
              <w:rPr>
                <w:sz w:val="21"/>
                <w:szCs w:val="21"/>
              </w:rPr>
            </w:pPr>
            <w:r>
              <w:rPr>
                <w:sz w:val="21"/>
                <w:szCs w:val="21"/>
              </w:rPr>
              <w:t>Sur la base des expériences menées dans les pays ou les associations de culture sont autorisées et régulées (Espagne, Malte, Allemagne notamment), le GREA soutient cette proposition de la minorité pour les raisons suivantes :</w:t>
            </w:r>
          </w:p>
          <w:p w14:paraId="7597FBD9" w14:textId="77777777" w:rsidR="004D45C4" w:rsidRPr="00730D0B" w:rsidRDefault="004D45C4" w:rsidP="004D45C4">
            <w:pPr>
              <w:numPr>
                <w:ilvl w:val="0"/>
                <w:numId w:val="5"/>
              </w:numPr>
              <w:spacing w:after="120" w:line="280" w:lineRule="atLeast"/>
              <w:jc w:val="both"/>
              <w:rPr>
                <w:sz w:val="21"/>
                <w:szCs w:val="21"/>
              </w:rPr>
            </w:pPr>
            <w:r w:rsidRPr="00730D0B">
              <w:rPr>
                <w:sz w:val="21"/>
                <w:szCs w:val="21"/>
              </w:rPr>
              <w:t xml:space="preserve">Beaucoup de </w:t>
            </w:r>
            <w:r>
              <w:rPr>
                <w:sz w:val="21"/>
                <w:szCs w:val="21"/>
              </w:rPr>
              <w:t>personnes</w:t>
            </w:r>
            <w:r w:rsidRPr="00730D0B">
              <w:rPr>
                <w:sz w:val="21"/>
                <w:szCs w:val="21"/>
              </w:rPr>
              <w:t xml:space="preserve"> ne </w:t>
            </w:r>
            <w:r>
              <w:rPr>
                <w:sz w:val="21"/>
                <w:szCs w:val="21"/>
              </w:rPr>
              <w:t>peuvent</w:t>
            </w:r>
            <w:r w:rsidRPr="00730D0B">
              <w:rPr>
                <w:sz w:val="21"/>
                <w:szCs w:val="21"/>
              </w:rPr>
              <w:t xml:space="preserve"> pas cultiver </w:t>
            </w:r>
            <w:r>
              <w:rPr>
                <w:sz w:val="21"/>
                <w:szCs w:val="21"/>
              </w:rPr>
              <w:t>à leur domicile</w:t>
            </w:r>
            <w:r w:rsidRPr="00730D0B">
              <w:rPr>
                <w:sz w:val="21"/>
                <w:szCs w:val="21"/>
              </w:rPr>
              <w:t xml:space="preserve"> (locataires, espace</w:t>
            </w:r>
            <w:r>
              <w:rPr>
                <w:sz w:val="21"/>
                <w:szCs w:val="21"/>
              </w:rPr>
              <w:t xml:space="preserve"> insuffisant, absence de jardin ou de balcon</w:t>
            </w:r>
            <w:r w:rsidRPr="00730D0B">
              <w:rPr>
                <w:sz w:val="21"/>
                <w:szCs w:val="21"/>
              </w:rPr>
              <w:t>, interdiction de copropriété</w:t>
            </w:r>
            <w:r>
              <w:rPr>
                <w:sz w:val="21"/>
                <w:szCs w:val="21"/>
              </w:rPr>
              <w:t xml:space="preserve"> ou du bailleur, connaissances insuffisantes, etc.</w:t>
            </w:r>
            <w:r w:rsidRPr="00730D0B">
              <w:rPr>
                <w:sz w:val="21"/>
                <w:szCs w:val="21"/>
              </w:rPr>
              <w:t>)</w:t>
            </w:r>
          </w:p>
          <w:p w14:paraId="62A5AD84" w14:textId="77777777" w:rsidR="004D45C4" w:rsidRPr="00730D0B" w:rsidRDefault="004D45C4" w:rsidP="004D45C4">
            <w:pPr>
              <w:numPr>
                <w:ilvl w:val="0"/>
                <w:numId w:val="5"/>
              </w:numPr>
              <w:spacing w:after="120" w:line="280" w:lineRule="atLeast"/>
              <w:jc w:val="both"/>
              <w:rPr>
                <w:sz w:val="21"/>
                <w:szCs w:val="21"/>
              </w:rPr>
            </w:pPr>
            <w:r>
              <w:rPr>
                <w:sz w:val="21"/>
                <w:szCs w:val="21"/>
              </w:rPr>
              <w:t>Les associations de culture p</w:t>
            </w:r>
            <w:r w:rsidRPr="00730D0B">
              <w:rPr>
                <w:sz w:val="21"/>
                <w:szCs w:val="21"/>
              </w:rPr>
              <w:t>ermet</w:t>
            </w:r>
            <w:r>
              <w:rPr>
                <w:sz w:val="21"/>
                <w:szCs w:val="21"/>
              </w:rPr>
              <w:t>tent</w:t>
            </w:r>
            <w:r w:rsidRPr="00730D0B">
              <w:rPr>
                <w:sz w:val="21"/>
                <w:szCs w:val="21"/>
              </w:rPr>
              <w:t xml:space="preserve"> </w:t>
            </w:r>
            <w:r>
              <w:rPr>
                <w:sz w:val="21"/>
                <w:szCs w:val="21"/>
              </w:rPr>
              <w:t>le partage</w:t>
            </w:r>
            <w:r w:rsidRPr="00730D0B">
              <w:rPr>
                <w:sz w:val="21"/>
                <w:szCs w:val="21"/>
              </w:rPr>
              <w:t xml:space="preserve"> d'expériences</w:t>
            </w:r>
            <w:r>
              <w:rPr>
                <w:sz w:val="21"/>
                <w:szCs w:val="21"/>
              </w:rPr>
              <w:t xml:space="preserve"> et de savoirs,</w:t>
            </w:r>
            <w:r w:rsidRPr="00730D0B">
              <w:rPr>
                <w:sz w:val="21"/>
                <w:szCs w:val="21"/>
              </w:rPr>
              <w:t xml:space="preserve"> la réduction </w:t>
            </w:r>
            <w:r>
              <w:rPr>
                <w:sz w:val="21"/>
                <w:szCs w:val="21"/>
              </w:rPr>
              <w:t xml:space="preserve">collective </w:t>
            </w:r>
            <w:r w:rsidRPr="00730D0B">
              <w:rPr>
                <w:sz w:val="21"/>
                <w:szCs w:val="21"/>
              </w:rPr>
              <w:t>des risques</w:t>
            </w:r>
            <w:r>
              <w:rPr>
                <w:sz w:val="21"/>
                <w:szCs w:val="21"/>
              </w:rPr>
              <w:t>, la déstigmatisation</w:t>
            </w:r>
            <w:r w:rsidRPr="00730D0B">
              <w:rPr>
                <w:sz w:val="21"/>
                <w:szCs w:val="21"/>
              </w:rPr>
              <w:t xml:space="preserve"> </w:t>
            </w:r>
            <w:r>
              <w:rPr>
                <w:sz w:val="21"/>
                <w:szCs w:val="21"/>
              </w:rPr>
              <w:t>et la création de lien social entre usagères et usagers, comme le démontre l’analyse des résultats intermédiaires des essais pilotes mandatée par l’OFSP</w:t>
            </w:r>
          </w:p>
          <w:p w14:paraId="6CD0C5E4" w14:textId="5F48BD31" w:rsidR="004D45C4" w:rsidRPr="00494712" w:rsidRDefault="004D45C4" w:rsidP="004D45C4">
            <w:pPr>
              <w:numPr>
                <w:ilvl w:val="0"/>
                <w:numId w:val="5"/>
              </w:numPr>
              <w:spacing w:after="120" w:line="280" w:lineRule="atLeast"/>
              <w:jc w:val="both"/>
              <w:rPr>
                <w:sz w:val="21"/>
                <w:szCs w:val="21"/>
              </w:rPr>
            </w:pPr>
            <w:r>
              <w:rPr>
                <w:sz w:val="21"/>
                <w:szCs w:val="21"/>
              </w:rPr>
              <w:lastRenderedPageBreak/>
              <w:t>Les associations de culture répondent à une demande spécifique de consommatrices et consommateurs qui refusent de s’inscrire dans une logique marchande et de profit</w:t>
            </w:r>
          </w:p>
        </w:tc>
        <w:tc>
          <w:tcPr>
            <w:tcW w:w="5517" w:type="dxa"/>
          </w:tcPr>
          <w:p w14:paraId="2044B19E" w14:textId="5199D0ED" w:rsidR="005856D1" w:rsidRPr="007D24E4" w:rsidRDefault="009B3FEA" w:rsidP="005856D1">
            <w:pPr>
              <w:rPr>
                <w:b/>
                <w:bCs/>
                <w:sz w:val="20"/>
                <w:szCs w:val="20"/>
              </w:rPr>
            </w:pPr>
            <w:r w:rsidRPr="007D24E4">
              <w:rPr>
                <w:b/>
                <w:bCs/>
                <w:sz w:val="20"/>
                <w:szCs w:val="20"/>
              </w:rPr>
              <w:lastRenderedPageBreak/>
              <w:t>Soutien à la proposition de minorité</w:t>
            </w:r>
          </w:p>
        </w:tc>
      </w:tr>
      <w:tr w:rsidR="000303A8" w:rsidRPr="00717151" w14:paraId="291D23A0" w14:textId="77777777" w:rsidTr="0077201D">
        <w:trPr>
          <w:trHeight w:val="510"/>
        </w:trPr>
        <w:tc>
          <w:tcPr>
            <w:tcW w:w="729" w:type="dxa"/>
          </w:tcPr>
          <w:p w14:paraId="4E7EB420" w14:textId="2D15D9D3" w:rsidR="000303A8" w:rsidRPr="00A5371A" w:rsidRDefault="000303A8" w:rsidP="000303A8">
            <w:pPr>
              <w:rPr>
                <w:b/>
                <w:bCs/>
                <w:sz w:val="20"/>
                <w:szCs w:val="20"/>
              </w:rPr>
            </w:pPr>
            <w:r>
              <w:rPr>
                <w:b/>
                <w:bCs/>
                <w:sz w:val="20"/>
                <w:szCs w:val="20"/>
              </w:rPr>
              <w:t>12</w:t>
            </w:r>
          </w:p>
        </w:tc>
        <w:tc>
          <w:tcPr>
            <w:tcW w:w="708" w:type="dxa"/>
          </w:tcPr>
          <w:p w14:paraId="6DD115D3" w14:textId="77777777" w:rsidR="000303A8" w:rsidRPr="00A5371A" w:rsidRDefault="000303A8" w:rsidP="000303A8">
            <w:pPr>
              <w:rPr>
                <w:b/>
                <w:bCs/>
                <w:sz w:val="20"/>
                <w:szCs w:val="20"/>
              </w:rPr>
            </w:pPr>
          </w:p>
        </w:tc>
        <w:tc>
          <w:tcPr>
            <w:tcW w:w="708" w:type="dxa"/>
          </w:tcPr>
          <w:p w14:paraId="093F3691" w14:textId="77777777" w:rsidR="000303A8" w:rsidRPr="00A5371A" w:rsidRDefault="000303A8" w:rsidP="000303A8">
            <w:pPr>
              <w:rPr>
                <w:b/>
                <w:bCs/>
                <w:sz w:val="20"/>
                <w:szCs w:val="20"/>
              </w:rPr>
            </w:pPr>
          </w:p>
        </w:tc>
        <w:tc>
          <w:tcPr>
            <w:tcW w:w="6650" w:type="dxa"/>
          </w:tcPr>
          <w:p w14:paraId="62A71DD6" w14:textId="77777777" w:rsidR="000303A8" w:rsidRDefault="000303A8" w:rsidP="000303A8">
            <w:pPr>
              <w:rPr>
                <w:sz w:val="21"/>
                <w:szCs w:val="21"/>
              </w:rPr>
            </w:pPr>
            <w:r w:rsidRPr="004D5964">
              <w:rPr>
                <w:sz w:val="21"/>
                <w:szCs w:val="21"/>
              </w:rPr>
              <w:t xml:space="preserve">L'autoproduction est un pilier essentiel d'une régulation équilibrée. Elle permet l'autonomie des </w:t>
            </w:r>
            <w:r>
              <w:rPr>
                <w:sz w:val="21"/>
                <w:szCs w:val="21"/>
              </w:rPr>
              <w:t xml:space="preserve">consommatrices et </w:t>
            </w:r>
            <w:r w:rsidRPr="004D5964">
              <w:rPr>
                <w:sz w:val="21"/>
                <w:szCs w:val="21"/>
              </w:rPr>
              <w:t>consommateurs, réduit la dépendance au marché commercial et favorise une relation responsable avec la substance.</w:t>
            </w:r>
          </w:p>
          <w:p w14:paraId="403087D7" w14:textId="77777777" w:rsidR="000303A8" w:rsidRDefault="000303A8" w:rsidP="000303A8">
            <w:pPr>
              <w:rPr>
                <w:sz w:val="21"/>
                <w:szCs w:val="21"/>
              </w:rPr>
            </w:pPr>
            <w:r w:rsidRPr="006F3BBF">
              <w:rPr>
                <w:sz w:val="21"/>
                <w:szCs w:val="21"/>
              </w:rPr>
              <w:t xml:space="preserve">L'autoproduction permet aux consommateurs réguliers d'éviter les coûts élevés du marché légal (qui incluront taxes, marges commerciales et frais de distribution), le coût de production domestique étant largement inférieur au prix </w:t>
            </w:r>
            <w:r>
              <w:rPr>
                <w:sz w:val="21"/>
                <w:szCs w:val="21"/>
              </w:rPr>
              <w:t>d’achat en point de vente</w:t>
            </w:r>
            <w:r w:rsidRPr="006F3BBF">
              <w:rPr>
                <w:sz w:val="21"/>
                <w:szCs w:val="21"/>
              </w:rPr>
              <w:t>.</w:t>
            </w:r>
            <w:r>
              <w:rPr>
                <w:sz w:val="21"/>
                <w:szCs w:val="21"/>
              </w:rPr>
              <w:t xml:space="preserve"> L’</w:t>
            </w:r>
            <w:proofErr w:type="spellStart"/>
            <w:r>
              <w:rPr>
                <w:sz w:val="21"/>
                <w:szCs w:val="21"/>
              </w:rPr>
              <w:t>auto-approvisionnement</w:t>
            </w:r>
            <w:proofErr w:type="spellEnd"/>
            <w:r>
              <w:rPr>
                <w:sz w:val="21"/>
                <w:szCs w:val="21"/>
              </w:rPr>
              <w:t xml:space="preserve"> permet également d’éviter </w:t>
            </w:r>
            <w:r w:rsidRPr="006F3BBF">
              <w:rPr>
                <w:sz w:val="21"/>
                <w:szCs w:val="21"/>
              </w:rPr>
              <w:t xml:space="preserve">que les consommateurs à revenus modestes </w:t>
            </w:r>
            <w:r>
              <w:rPr>
                <w:sz w:val="21"/>
                <w:szCs w:val="21"/>
              </w:rPr>
              <w:t xml:space="preserve">ne </w:t>
            </w:r>
            <w:r w:rsidRPr="006F3BBF">
              <w:rPr>
                <w:sz w:val="21"/>
                <w:szCs w:val="21"/>
              </w:rPr>
              <w:t xml:space="preserve">se tournent vers le marché </w:t>
            </w:r>
            <w:r>
              <w:rPr>
                <w:sz w:val="21"/>
                <w:szCs w:val="21"/>
              </w:rPr>
              <w:t>illégal</w:t>
            </w:r>
            <w:r w:rsidRPr="006F3BBF">
              <w:rPr>
                <w:sz w:val="21"/>
                <w:szCs w:val="21"/>
              </w:rPr>
              <w:t xml:space="preserve"> pour des raisons économiques, garantissant ainsi l'accès à un cannabis de qualité contrôlée indépendamment du niveau socio-économique.</w:t>
            </w:r>
            <w:r>
              <w:rPr>
                <w:sz w:val="21"/>
                <w:szCs w:val="21"/>
              </w:rPr>
              <w:t xml:space="preserve"> Pour ces raisons, </w:t>
            </w:r>
            <w:r w:rsidRPr="007C0111">
              <w:rPr>
                <w:sz w:val="21"/>
                <w:szCs w:val="21"/>
                <w:u w:val="single"/>
              </w:rPr>
              <w:t>le GREA soutient l’amendement de la minorité</w:t>
            </w:r>
            <w:r>
              <w:rPr>
                <w:sz w:val="21"/>
                <w:szCs w:val="21"/>
              </w:rPr>
              <w:t xml:space="preserve"> qui permet de cultiver jusqu’à 5 plantes :</w:t>
            </w:r>
          </w:p>
          <w:p w14:paraId="20D80891" w14:textId="77777777" w:rsidR="000303A8" w:rsidRPr="009A7ACB" w:rsidRDefault="000303A8" w:rsidP="006565AE">
            <w:pPr>
              <w:pStyle w:val="Paragraphedeliste"/>
              <w:numPr>
                <w:ilvl w:val="0"/>
                <w:numId w:val="6"/>
              </w:numPr>
              <w:spacing w:after="120" w:line="280" w:lineRule="atLeast"/>
              <w:rPr>
                <w:sz w:val="21"/>
                <w:szCs w:val="21"/>
              </w:rPr>
            </w:pPr>
            <w:r w:rsidRPr="009A7ACB">
              <w:rPr>
                <w:sz w:val="21"/>
                <w:szCs w:val="21"/>
              </w:rPr>
              <w:t xml:space="preserve">Seuil de rentabilité : Avec seulement </w:t>
            </w:r>
            <w:r>
              <w:rPr>
                <w:sz w:val="21"/>
                <w:szCs w:val="21"/>
              </w:rPr>
              <w:t>trois</w:t>
            </w:r>
            <w:r w:rsidRPr="009A7ACB">
              <w:rPr>
                <w:sz w:val="21"/>
                <w:szCs w:val="21"/>
              </w:rPr>
              <w:t xml:space="preserve"> plantes, le rendement annuel (300-900g) reste insuffisant pour les consommateurs réguliers qui consomment 1</w:t>
            </w:r>
            <w:r>
              <w:rPr>
                <w:sz w:val="21"/>
                <w:szCs w:val="21"/>
              </w:rPr>
              <w:t xml:space="preserve">à </w:t>
            </w:r>
            <w:r w:rsidRPr="009A7ACB">
              <w:rPr>
                <w:sz w:val="21"/>
                <w:szCs w:val="21"/>
              </w:rPr>
              <w:t xml:space="preserve">2g par jour, les obligeant à compléter </w:t>
            </w:r>
            <w:r>
              <w:rPr>
                <w:sz w:val="21"/>
                <w:szCs w:val="21"/>
              </w:rPr>
              <w:t xml:space="preserve">leur production </w:t>
            </w:r>
            <w:r w:rsidRPr="009A7ACB">
              <w:rPr>
                <w:sz w:val="21"/>
                <w:szCs w:val="21"/>
              </w:rPr>
              <w:t>par des achats coûteux</w:t>
            </w:r>
            <w:r>
              <w:rPr>
                <w:sz w:val="21"/>
                <w:szCs w:val="21"/>
              </w:rPr>
              <w:t xml:space="preserve"> ou les invitant à se tourner vers le marché illégal</w:t>
            </w:r>
            <w:r w:rsidRPr="009A7ACB">
              <w:rPr>
                <w:sz w:val="21"/>
                <w:szCs w:val="21"/>
              </w:rPr>
              <w:t xml:space="preserve">. </w:t>
            </w:r>
            <w:r>
              <w:rPr>
                <w:sz w:val="21"/>
                <w:szCs w:val="21"/>
              </w:rPr>
              <w:t>Cinq</w:t>
            </w:r>
            <w:r w:rsidRPr="009A7ACB">
              <w:rPr>
                <w:sz w:val="21"/>
                <w:szCs w:val="21"/>
              </w:rPr>
              <w:t xml:space="preserve"> plantes permettent un rendement de 500-1500g, couvrant réellement les besoins annuels.</w:t>
            </w:r>
          </w:p>
          <w:p w14:paraId="6957B963" w14:textId="656FF4D6" w:rsidR="00E31CEC" w:rsidRDefault="000303A8" w:rsidP="006565AE">
            <w:pPr>
              <w:pStyle w:val="Paragraphedeliste"/>
              <w:numPr>
                <w:ilvl w:val="0"/>
                <w:numId w:val="6"/>
              </w:numPr>
              <w:spacing w:after="120" w:line="280" w:lineRule="atLeast"/>
              <w:rPr>
                <w:sz w:val="21"/>
                <w:szCs w:val="21"/>
              </w:rPr>
            </w:pPr>
            <w:r w:rsidRPr="009A7ACB">
              <w:rPr>
                <w:sz w:val="21"/>
                <w:szCs w:val="21"/>
              </w:rPr>
              <w:t xml:space="preserve">Amortissement des coûts fixes : </w:t>
            </w:r>
            <w:r>
              <w:rPr>
                <w:sz w:val="21"/>
                <w:szCs w:val="21"/>
              </w:rPr>
              <w:t>l</w:t>
            </w:r>
            <w:r w:rsidRPr="009A7ACB">
              <w:rPr>
                <w:sz w:val="21"/>
                <w:szCs w:val="21"/>
              </w:rPr>
              <w:t xml:space="preserve">'équipement de culture (lampes, ventilation, etc.) représente un investissement initial important. Avec </w:t>
            </w:r>
            <w:r>
              <w:rPr>
                <w:sz w:val="21"/>
                <w:szCs w:val="21"/>
              </w:rPr>
              <w:t>trois</w:t>
            </w:r>
            <w:r w:rsidRPr="009A7ACB">
              <w:rPr>
                <w:sz w:val="21"/>
                <w:szCs w:val="21"/>
              </w:rPr>
              <w:t xml:space="preserve"> plantes, le coût par gramme reste élevé et dissuasif pour les ménages modestes. </w:t>
            </w:r>
            <w:r>
              <w:rPr>
                <w:sz w:val="21"/>
                <w:szCs w:val="21"/>
              </w:rPr>
              <w:t>Cinq</w:t>
            </w:r>
            <w:r w:rsidRPr="009A7ACB">
              <w:rPr>
                <w:sz w:val="21"/>
                <w:szCs w:val="21"/>
              </w:rPr>
              <w:t xml:space="preserve"> plantes permettent de diluer ces coûts fixes et d'atteindre une véritable économie</w:t>
            </w:r>
            <w:r w:rsidR="00E31CEC">
              <w:rPr>
                <w:sz w:val="21"/>
                <w:szCs w:val="21"/>
              </w:rPr>
              <w:t>.</w:t>
            </w:r>
          </w:p>
          <w:p w14:paraId="591D1657" w14:textId="0129CD39" w:rsidR="000303A8" w:rsidRPr="00E31CEC" w:rsidRDefault="000303A8" w:rsidP="006565AE">
            <w:pPr>
              <w:pStyle w:val="Paragraphedeliste"/>
              <w:numPr>
                <w:ilvl w:val="0"/>
                <w:numId w:val="6"/>
              </w:numPr>
              <w:spacing w:after="120" w:line="280" w:lineRule="atLeast"/>
              <w:rPr>
                <w:sz w:val="21"/>
                <w:szCs w:val="21"/>
              </w:rPr>
            </w:pPr>
            <w:r w:rsidRPr="00E31CEC">
              <w:rPr>
                <w:sz w:val="21"/>
                <w:szCs w:val="21"/>
              </w:rPr>
              <w:lastRenderedPageBreak/>
              <w:t xml:space="preserve">Protection contre la précarité : Les consommateurs à revenus modestes, souvent les plus vulnérables au marché illégal, ont besoin que leur </w:t>
            </w:r>
            <w:proofErr w:type="spellStart"/>
            <w:r w:rsidRPr="00E31CEC">
              <w:rPr>
                <w:sz w:val="21"/>
                <w:szCs w:val="21"/>
              </w:rPr>
              <w:t>auto-approvisionnement</w:t>
            </w:r>
            <w:proofErr w:type="spellEnd"/>
            <w:r w:rsidRPr="00E31CEC">
              <w:rPr>
                <w:sz w:val="21"/>
                <w:szCs w:val="21"/>
              </w:rPr>
              <w:t xml:space="preserve"> soit rentable. Trois plantes ne leur offrent qu'un complément d'approvisionnement, pas une véritable alternative aux prix du marché légal.</w:t>
            </w:r>
          </w:p>
        </w:tc>
        <w:tc>
          <w:tcPr>
            <w:tcW w:w="5517" w:type="dxa"/>
          </w:tcPr>
          <w:p w14:paraId="46185B43" w14:textId="77777777" w:rsidR="00C81712" w:rsidRPr="007D24E4" w:rsidRDefault="00C81712" w:rsidP="00C81712">
            <w:pPr>
              <w:rPr>
                <w:sz w:val="21"/>
                <w:szCs w:val="21"/>
              </w:rPr>
            </w:pPr>
            <w:r w:rsidRPr="007D24E4">
              <w:rPr>
                <w:b/>
                <w:bCs/>
                <w:sz w:val="21"/>
                <w:szCs w:val="21"/>
              </w:rPr>
              <w:lastRenderedPageBreak/>
              <w:t>Art. 12</w:t>
            </w:r>
            <w:r w:rsidRPr="007D24E4">
              <w:rPr>
                <w:sz w:val="21"/>
                <w:szCs w:val="21"/>
              </w:rPr>
              <w:t xml:space="preserve"> Culture</w:t>
            </w:r>
          </w:p>
          <w:p w14:paraId="4BEEF440" w14:textId="2F71FBDF" w:rsidR="000303A8" w:rsidRPr="007D24E4" w:rsidRDefault="00C81712" w:rsidP="00C81712">
            <w:pPr>
              <w:rPr>
                <w:b/>
                <w:bCs/>
                <w:sz w:val="20"/>
                <w:szCs w:val="20"/>
              </w:rPr>
            </w:pPr>
            <w:r w:rsidRPr="007D24E4">
              <w:rPr>
                <w:sz w:val="21"/>
                <w:szCs w:val="21"/>
              </w:rPr>
              <w:t>Un adulte est autorisé à cultiver au maximum cinq plantes de cannabis femelles en phase de floraison à des fins d’</w:t>
            </w:r>
            <w:proofErr w:type="spellStart"/>
            <w:r w:rsidRPr="007D24E4">
              <w:rPr>
                <w:sz w:val="21"/>
                <w:szCs w:val="21"/>
              </w:rPr>
              <w:t>auto-approvisionnement</w:t>
            </w:r>
            <w:proofErr w:type="spellEnd"/>
            <w:r w:rsidRPr="007D24E4">
              <w:rPr>
                <w:sz w:val="21"/>
                <w:szCs w:val="21"/>
              </w:rPr>
              <w:t xml:space="preserve"> dans son logement et dans les espaces intérieurs et extérieurs attenants.</w:t>
            </w:r>
          </w:p>
        </w:tc>
      </w:tr>
      <w:tr w:rsidR="00C81712" w:rsidRPr="00717151" w14:paraId="004BDEA6" w14:textId="77777777" w:rsidTr="0077201D">
        <w:trPr>
          <w:trHeight w:val="510"/>
        </w:trPr>
        <w:tc>
          <w:tcPr>
            <w:tcW w:w="729" w:type="dxa"/>
          </w:tcPr>
          <w:p w14:paraId="68FB3516" w14:textId="552A60C4" w:rsidR="00C81712" w:rsidRDefault="000C3C75" w:rsidP="000303A8">
            <w:pPr>
              <w:rPr>
                <w:b/>
                <w:bCs/>
                <w:sz w:val="20"/>
                <w:szCs w:val="20"/>
              </w:rPr>
            </w:pPr>
            <w:r>
              <w:rPr>
                <w:b/>
                <w:bCs/>
                <w:sz w:val="20"/>
                <w:szCs w:val="20"/>
              </w:rPr>
              <w:t>14</w:t>
            </w:r>
          </w:p>
        </w:tc>
        <w:tc>
          <w:tcPr>
            <w:tcW w:w="708" w:type="dxa"/>
          </w:tcPr>
          <w:p w14:paraId="08308242" w14:textId="77777777" w:rsidR="00C81712" w:rsidRPr="00A5371A" w:rsidRDefault="00C81712" w:rsidP="000303A8">
            <w:pPr>
              <w:rPr>
                <w:b/>
                <w:bCs/>
                <w:sz w:val="20"/>
                <w:szCs w:val="20"/>
              </w:rPr>
            </w:pPr>
          </w:p>
        </w:tc>
        <w:tc>
          <w:tcPr>
            <w:tcW w:w="708" w:type="dxa"/>
          </w:tcPr>
          <w:p w14:paraId="4801DBB8" w14:textId="77777777" w:rsidR="00C81712" w:rsidRPr="00A5371A" w:rsidRDefault="00C81712" w:rsidP="000303A8">
            <w:pPr>
              <w:rPr>
                <w:b/>
                <w:bCs/>
                <w:sz w:val="20"/>
                <w:szCs w:val="20"/>
              </w:rPr>
            </w:pPr>
          </w:p>
        </w:tc>
        <w:tc>
          <w:tcPr>
            <w:tcW w:w="6650" w:type="dxa"/>
          </w:tcPr>
          <w:p w14:paraId="55CF2AA6" w14:textId="77777777" w:rsidR="000C3C75" w:rsidRDefault="000C3C75" w:rsidP="000C3C75">
            <w:pPr>
              <w:rPr>
                <w:sz w:val="21"/>
                <w:szCs w:val="21"/>
              </w:rPr>
            </w:pPr>
            <w:r w:rsidRPr="00B5681B">
              <w:rPr>
                <w:sz w:val="21"/>
                <w:szCs w:val="21"/>
              </w:rPr>
              <w:t xml:space="preserve">Cet article fixe les quantités maximales de cannabis </w:t>
            </w:r>
            <w:r>
              <w:rPr>
                <w:sz w:val="21"/>
                <w:szCs w:val="21"/>
              </w:rPr>
              <w:t>issu de l’</w:t>
            </w:r>
            <w:proofErr w:type="spellStart"/>
            <w:r>
              <w:rPr>
                <w:sz w:val="21"/>
                <w:szCs w:val="21"/>
              </w:rPr>
              <w:t>auto-approvisionnement</w:t>
            </w:r>
            <w:proofErr w:type="spellEnd"/>
            <w:r w:rsidRPr="00B5681B">
              <w:rPr>
                <w:sz w:val="21"/>
                <w:szCs w:val="21"/>
              </w:rPr>
              <w:t xml:space="preserve"> qu'on peut stocker chez soi, avec des équivalences THC pour différents types de produits.</w:t>
            </w:r>
            <w:r>
              <w:rPr>
                <w:sz w:val="21"/>
                <w:szCs w:val="21"/>
              </w:rPr>
              <w:t xml:space="preserve"> En cohérence avec l’article 12, le GREA soutient ici également la minorité pour les raisons suivantes :</w:t>
            </w:r>
          </w:p>
          <w:p w14:paraId="0864B4E3" w14:textId="77777777" w:rsidR="00606435" w:rsidRDefault="000C3C75" w:rsidP="000C3C75">
            <w:pPr>
              <w:pStyle w:val="Paragraphedeliste"/>
              <w:numPr>
                <w:ilvl w:val="0"/>
                <w:numId w:val="7"/>
              </w:numPr>
              <w:spacing w:after="120" w:line="280" w:lineRule="atLeast"/>
              <w:jc w:val="both"/>
              <w:rPr>
                <w:sz w:val="21"/>
                <w:szCs w:val="21"/>
              </w:rPr>
            </w:pPr>
            <w:r w:rsidRPr="0088407E">
              <w:rPr>
                <w:sz w:val="21"/>
                <w:szCs w:val="21"/>
              </w:rPr>
              <w:t xml:space="preserve">Cohérence avec </w:t>
            </w:r>
            <w:r>
              <w:rPr>
                <w:sz w:val="21"/>
                <w:szCs w:val="21"/>
              </w:rPr>
              <w:t>cinq</w:t>
            </w:r>
            <w:r w:rsidRPr="0088407E">
              <w:rPr>
                <w:sz w:val="21"/>
                <w:szCs w:val="21"/>
              </w:rPr>
              <w:t xml:space="preserve"> plantes : </w:t>
            </w:r>
            <w:r>
              <w:rPr>
                <w:sz w:val="21"/>
                <w:szCs w:val="21"/>
              </w:rPr>
              <w:t>si cinq</w:t>
            </w:r>
            <w:r w:rsidRPr="0088407E">
              <w:rPr>
                <w:sz w:val="21"/>
                <w:szCs w:val="21"/>
              </w:rPr>
              <w:t xml:space="preserve"> plantes </w:t>
            </w:r>
            <w:r>
              <w:rPr>
                <w:sz w:val="21"/>
                <w:szCs w:val="21"/>
              </w:rPr>
              <w:t>sont autorisées à des fins d’</w:t>
            </w:r>
            <w:proofErr w:type="spellStart"/>
            <w:r>
              <w:rPr>
                <w:sz w:val="21"/>
                <w:szCs w:val="21"/>
              </w:rPr>
              <w:t>auto-approvisionnement</w:t>
            </w:r>
            <w:proofErr w:type="spellEnd"/>
            <w:r w:rsidRPr="0088407E">
              <w:rPr>
                <w:sz w:val="21"/>
                <w:szCs w:val="21"/>
              </w:rPr>
              <w:t>, le rendement peut atteindre 100-1</w:t>
            </w:r>
            <w:r>
              <w:rPr>
                <w:sz w:val="21"/>
                <w:szCs w:val="21"/>
              </w:rPr>
              <w:t>2</w:t>
            </w:r>
            <w:r w:rsidRPr="0088407E">
              <w:rPr>
                <w:sz w:val="21"/>
                <w:szCs w:val="21"/>
              </w:rPr>
              <w:t xml:space="preserve">0g de THC par récolte. </w:t>
            </w:r>
            <w:r>
              <w:rPr>
                <w:sz w:val="21"/>
                <w:szCs w:val="21"/>
              </w:rPr>
              <w:t>En conséquence il serait insuffisant d’autoriser seulement la possession de 75g de THC issus de l’</w:t>
            </w:r>
            <w:proofErr w:type="spellStart"/>
            <w:r>
              <w:rPr>
                <w:sz w:val="21"/>
                <w:szCs w:val="21"/>
              </w:rPr>
              <w:t>auto-approvisionnement</w:t>
            </w:r>
            <w:proofErr w:type="spellEnd"/>
            <w:r>
              <w:rPr>
                <w:sz w:val="21"/>
                <w:szCs w:val="21"/>
              </w:rPr>
              <w:t xml:space="preserve">. </w:t>
            </w:r>
          </w:p>
          <w:p w14:paraId="0A56EF19" w14:textId="3745B605" w:rsidR="00C81712" w:rsidRPr="00606435" w:rsidRDefault="000C3C75" w:rsidP="000C3C75">
            <w:pPr>
              <w:pStyle w:val="Paragraphedeliste"/>
              <w:numPr>
                <w:ilvl w:val="0"/>
                <w:numId w:val="7"/>
              </w:numPr>
              <w:spacing w:after="120" w:line="280" w:lineRule="atLeast"/>
              <w:jc w:val="both"/>
              <w:rPr>
                <w:sz w:val="21"/>
                <w:szCs w:val="21"/>
              </w:rPr>
            </w:pPr>
            <w:r w:rsidRPr="00606435">
              <w:rPr>
                <w:sz w:val="21"/>
                <w:szCs w:val="21"/>
              </w:rPr>
              <w:t>Stockage saisonnier : L'autoproduction en extérieur fournit une récolte annuelle qui doit pouvoir être stockée : 120g permettent un stockage réaliste.</w:t>
            </w:r>
          </w:p>
        </w:tc>
        <w:tc>
          <w:tcPr>
            <w:tcW w:w="5517" w:type="dxa"/>
          </w:tcPr>
          <w:p w14:paraId="700A23FD" w14:textId="3C309094" w:rsidR="00820AE4" w:rsidRDefault="00820AE4" w:rsidP="00575A2C">
            <w:pPr>
              <w:rPr>
                <w:b/>
                <w:bCs/>
                <w:sz w:val="21"/>
                <w:szCs w:val="21"/>
              </w:rPr>
            </w:pPr>
            <w:r>
              <w:rPr>
                <w:b/>
                <w:bCs/>
                <w:sz w:val="21"/>
                <w:szCs w:val="21"/>
              </w:rPr>
              <w:t>Soutien à la minorité</w:t>
            </w:r>
          </w:p>
          <w:p w14:paraId="17F3F6EE" w14:textId="77777777" w:rsidR="00820AE4" w:rsidRDefault="00820AE4" w:rsidP="00575A2C">
            <w:pPr>
              <w:rPr>
                <w:b/>
                <w:bCs/>
                <w:sz w:val="21"/>
                <w:szCs w:val="21"/>
              </w:rPr>
            </w:pPr>
          </w:p>
          <w:p w14:paraId="29460869" w14:textId="1A19EF9D" w:rsidR="00575A2C" w:rsidRPr="007D24E4" w:rsidRDefault="00575A2C" w:rsidP="00575A2C">
            <w:pPr>
              <w:rPr>
                <w:sz w:val="21"/>
                <w:szCs w:val="21"/>
              </w:rPr>
            </w:pPr>
            <w:r w:rsidRPr="007D24E4">
              <w:rPr>
                <w:b/>
                <w:bCs/>
                <w:sz w:val="21"/>
                <w:szCs w:val="21"/>
              </w:rPr>
              <w:t xml:space="preserve">Art. 14 </w:t>
            </w:r>
            <w:r w:rsidRPr="007D24E4">
              <w:rPr>
                <w:sz w:val="21"/>
                <w:szCs w:val="21"/>
              </w:rPr>
              <w:t>Possession à titre privé</w:t>
            </w:r>
          </w:p>
          <w:p w14:paraId="441F4FF9" w14:textId="7EBD77D6" w:rsidR="00C81712" w:rsidRPr="007D24E4" w:rsidRDefault="00575A2C" w:rsidP="00575A2C">
            <w:pPr>
              <w:rPr>
                <w:b/>
                <w:bCs/>
                <w:sz w:val="21"/>
                <w:szCs w:val="21"/>
              </w:rPr>
            </w:pPr>
            <w:r w:rsidRPr="007D24E4">
              <w:rPr>
                <w:sz w:val="21"/>
                <w:szCs w:val="21"/>
              </w:rPr>
              <w:t>1 Les adultes sont autorisés à posséder à titre privé des produits issus de l’</w:t>
            </w:r>
            <w:proofErr w:type="spellStart"/>
            <w:r w:rsidRPr="007D24E4">
              <w:rPr>
                <w:sz w:val="21"/>
                <w:szCs w:val="21"/>
              </w:rPr>
              <w:t>auto-approvisionnement</w:t>
            </w:r>
            <w:proofErr w:type="spellEnd"/>
            <w:r w:rsidRPr="007D24E4">
              <w:rPr>
                <w:sz w:val="21"/>
                <w:szCs w:val="21"/>
              </w:rPr>
              <w:t xml:space="preserve"> contenant au maximum 120 grammes de THC.</w:t>
            </w:r>
          </w:p>
        </w:tc>
      </w:tr>
      <w:tr w:rsidR="00EE1105" w:rsidRPr="00717151" w14:paraId="27A4C3BF" w14:textId="77777777" w:rsidTr="0077201D">
        <w:trPr>
          <w:trHeight w:val="510"/>
        </w:trPr>
        <w:tc>
          <w:tcPr>
            <w:tcW w:w="729" w:type="dxa"/>
          </w:tcPr>
          <w:p w14:paraId="75EE8289" w14:textId="6869C3A4" w:rsidR="00EE1105" w:rsidRDefault="00EE1105" w:rsidP="00EE1105">
            <w:pPr>
              <w:rPr>
                <w:b/>
                <w:bCs/>
                <w:sz w:val="20"/>
                <w:szCs w:val="20"/>
              </w:rPr>
            </w:pPr>
            <w:r>
              <w:rPr>
                <w:b/>
                <w:bCs/>
                <w:sz w:val="20"/>
                <w:szCs w:val="20"/>
              </w:rPr>
              <w:t>14</w:t>
            </w:r>
          </w:p>
        </w:tc>
        <w:tc>
          <w:tcPr>
            <w:tcW w:w="708" w:type="dxa"/>
          </w:tcPr>
          <w:p w14:paraId="5A12B1A3" w14:textId="3C834684" w:rsidR="00EE1105" w:rsidRPr="00A5371A" w:rsidRDefault="00EE1105" w:rsidP="00EE1105">
            <w:pPr>
              <w:rPr>
                <w:b/>
                <w:bCs/>
                <w:sz w:val="20"/>
                <w:szCs w:val="20"/>
              </w:rPr>
            </w:pPr>
            <w:r>
              <w:rPr>
                <w:b/>
                <w:bCs/>
                <w:sz w:val="20"/>
                <w:szCs w:val="20"/>
              </w:rPr>
              <w:t>2</w:t>
            </w:r>
          </w:p>
        </w:tc>
        <w:tc>
          <w:tcPr>
            <w:tcW w:w="708" w:type="dxa"/>
          </w:tcPr>
          <w:p w14:paraId="1A359B66" w14:textId="77777777" w:rsidR="00EE1105" w:rsidRPr="00A5371A" w:rsidRDefault="00EE1105" w:rsidP="00EE1105">
            <w:pPr>
              <w:rPr>
                <w:b/>
                <w:bCs/>
                <w:sz w:val="20"/>
                <w:szCs w:val="20"/>
              </w:rPr>
            </w:pPr>
          </w:p>
        </w:tc>
        <w:tc>
          <w:tcPr>
            <w:tcW w:w="6650" w:type="dxa"/>
          </w:tcPr>
          <w:p w14:paraId="6FE49921" w14:textId="0708A327" w:rsidR="00EE1105" w:rsidRPr="00F13910" w:rsidRDefault="00EE1105" w:rsidP="00EE1105">
            <w:pPr>
              <w:rPr>
                <w:sz w:val="21"/>
                <w:szCs w:val="21"/>
              </w:rPr>
            </w:pPr>
            <w:r w:rsidRPr="00F13910">
              <w:rPr>
                <w:sz w:val="21"/>
                <w:szCs w:val="21"/>
              </w:rPr>
              <w:t xml:space="preserve">Cette disposition instaure une présomption légale concernant la quantité de THC contenue dans différents types de produits </w:t>
            </w:r>
            <w:r w:rsidR="00843E1B" w:rsidRPr="00F13910">
              <w:rPr>
                <w:sz w:val="21"/>
                <w:szCs w:val="21"/>
              </w:rPr>
              <w:t>cannabiques.</w:t>
            </w:r>
          </w:p>
          <w:p w14:paraId="2FD36F5D" w14:textId="77777777" w:rsidR="00EE1105" w:rsidRPr="00F13910" w:rsidRDefault="00EE1105" w:rsidP="00EE1105">
            <w:pPr>
              <w:rPr>
                <w:sz w:val="21"/>
                <w:szCs w:val="21"/>
              </w:rPr>
            </w:pPr>
          </w:p>
          <w:p w14:paraId="5D641DAC" w14:textId="3C3ABAD6" w:rsidR="00EE1105" w:rsidRPr="00F13910" w:rsidRDefault="003D2CC9" w:rsidP="00EE1105">
            <w:pPr>
              <w:rPr>
                <w:sz w:val="21"/>
                <w:szCs w:val="21"/>
              </w:rPr>
            </w:pPr>
            <w:r w:rsidRPr="00F13910">
              <w:rPr>
                <w:sz w:val="21"/>
                <w:szCs w:val="21"/>
              </w:rPr>
              <w:t>Le</w:t>
            </w:r>
            <w:r w:rsidR="00EE1105" w:rsidRPr="00F13910">
              <w:rPr>
                <w:sz w:val="21"/>
                <w:szCs w:val="21"/>
              </w:rPr>
              <w:t xml:space="preserve"> GREA </w:t>
            </w:r>
            <w:r w:rsidRPr="00F13910">
              <w:rPr>
                <w:sz w:val="21"/>
                <w:szCs w:val="21"/>
              </w:rPr>
              <w:t xml:space="preserve">est </w:t>
            </w:r>
            <w:r w:rsidR="00EE1105" w:rsidRPr="00F13910">
              <w:rPr>
                <w:sz w:val="21"/>
                <w:szCs w:val="21"/>
              </w:rPr>
              <w:t xml:space="preserve">favorable à l’instauration d’un seuil afin </w:t>
            </w:r>
            <w:r w:rsidR="00CE39D9" w:rsidRPr="00F13910">
              <w:rPr>
                <w:sz w:val="21"/>
                <w:szCs w:val="21"/>
              </w:rPr>
              <w:t>de distinguer l’auto-</w:t>
            </w:r>
            <w:proofErr w:type="spellStart"/>
            <w:r w:rsidR="00CE39D9" w:rsidRPr="00F13910">
              <w:rPr>
                <w:sz w:val="21"/>
                <w:szCs w:val="21"/>
              </w:rPr>
              <w:t>apprivoisionnement</w:t>
            </w:r>
            <w:proofErr w:type="spellEnd"/>
            <w:r w:rsidR="00CE39D9" w:rsidRPr="00F13910">
              <w:rPr>
                <w:sz w:val="21"/>
                <w:szCs w:val="21"/>
              </w:rPr>
              <w:t xml:space="preserve"> </w:t>
            </w:r>
            <w:r w:rsidRPr="00F13910">
              <w:rPr>
                <w:sz w:val="21"/>
                <w:szCs w:val="21"/>
              </w:rPr>
              <w:t>d’une production de cannabis commerciale</w:t>
            </w:r>
            <w:r w:rsidR="0062121D" w:rsidRPr="00F13910">
              <w:rPr>
                <w:sz w:val="21"/>
                <w:szCs w:val="21"/>
              </w:rPr>
              <w:t>. Cependant,</w:t>
            </w:r>
            <w:r w:rsidR="00EE1105" w:rsidRPr="00F13910">
              <w:rPr>
                <w:sz w:val="21"/>
                <w:szCs w:val="21"/>
              </w:rPr>
              <w:t xml:space="preserve"> une telle présomption heurte des principes fondamentaux de procédure pénale, notamment les maximes d’instruction et d’accusation (art. 6 et 9 CPP).</w:t>
            </w:r>
          </w:p>
          <w:p w14:paraId="64D335FC" w14:textId="77777777" w:rsidR="00EE1105" w:rsidRPr="00F13910" w:rsidRDefault="00EE1105" w:rsidP="00EE1105">
            <w:pPr>
              <w:rPr>
                <w:sz w:val="21"/>
                <w:szCs w:val="21"/>
              </w:rPr>
            </w:pPr>
          </w:p>
          <w:p w14:paraId="15CAF0F9" w14:textId="24317C88" w:rsidR="00EE1105" w:rsidRPr="00F13910" w:rsidRDefault="00EE1105" w:rsidP="00EE1105">
            <w:pPr>
              <w:rPr>
                <w:sz w:val="21"/>
                <w:szCs w:val="21"/>
              </w:rPr>
            </w:pPr>
            <w:r w:rsidRPr="00F13910">
              <w:rPr>
                <w:sz w:val="21"/>
                <w:szCs w:val="21"/>
              </w:rPr>
              <w:t xml:space="preserve">En premier lieu, une telle présomption dispense les autorités de poursuite pénale d’apprécier les circonstances concrètes. Or, il est </w:t>
            </w:r>
            <w:r w:rsidRPr="00F13910">
              <w:rPr>
                <w:sz w:val="21"/>
                <w:szCs w:val="21"/>
              </w:rPr>
              <w:lastRenderedPageBreak/>
              <w:t>du ressort des autorités pénales de rechercher d’office les faits pertinents pour la qualification de l’acte</w:t>
            </w:r>
            <w:r w:rsidR="0001158F" w:rsidRPr="00F13910">
              <w:rPr>
                <w:sz w:val="21"/>
                <w:szCs w:val="21"/>
              </w:rPr>
              <w:t>, notamment la quantité réelle de THC.</w:t>
            </w:r>
          </w:p>
          <w:p w14:paraId="258B2D91" w14:textId="77777777" w:rsidR="00EE1105" w:rsidRPr="00F13910" w:rsidRDefault="00EE1105" w:rsidP="00EE1105">
            <w:pPr>
              <w:rPr>
                <w:sz w:val="21"/>
                <w:szCs w:val="21"/>
              </w:rPr>
            </w:pPr>
          </w:p>
          <w:p w14:paraId="675FD47D" w14:textId="77777777" w:rsidR="00EE1105" w:rsidRPr="00F13910" w:rsidRDefault="00EE1105" w:rsidP="00EE1105">
            <w:pPr>
              <w:rPr>
                <w:sz w:val="21"/>
                <w:szCs w:val="21"/>
              </w:rPr>
            </w:pPr>
            <w:r w:rsidRPr="00F13910">
              <w:rPr>
                <w:sz w:val="21"/>
                <w:szCs w:val="21"/>
              </w:rPr>
              <w:t>En outre, l’application de l’art. 14 al. 2 LPCan conduit, en pratique, à une inversion du fardeau de la preuve. En effet, le prévenu serait contraint de démontrer que ses produits contiennent moins de THC que la valeur présumée, ce qui est incompatible avec les principes fondamentaux de la procédure pénale.</w:t>
            </w:r>
          </w:p>
          <w:p w14:paraId="62679DD1" w14:textId="77777777" w:rsidR="00EE1105" w:rsidRPr="00F13910" w:rsidRDefault="00EE1105" w:rsidP="00EE1105">
            <w:pPr>
              <w:rPr>
                <w:sz w:val="21"/>
                <w:szCs w:val="21"/>
              </w:rPr>
            </w:pPr>
          </w:p>
          <w:p w14:paraId="72D75B74" w14:textId="4F21020D" w:rsidR="00EE1105" w:rsidRPr="00F13910" w:rsidRDefault="00EE1105" w:rsidP="00EE1105">
            <w:pPr>
              <w:rPr>
                <w:sz w:val="21"/>
                <w:szCs w:val="21"/>
              </w:rPr>
            </w:pPr>
            <w:r w:rsidRPr="00F13910">
              <w:rPr>
                <w:sz w:val="21"/>
                <w:szCs w:val="21"/>
              </w:rPr>
              <w:t xml:space="preserve">Enfin, cette présomption ne prend pas en compte la variabilité des produits cannabiques en pratique. En effet, les teneurs présumées (5%, 15%, 25%, 75%) </w:t>
            </w:r>
            <w:r w:rsidRPr="00F13910">
              <w:t xml:space="preserve">apparaissent par ailleurs arbitraires ou du moins approximatives </w:t>
            </w:r>
            <w:r w:rsidRPr="00F13910">
              <w:rPr>
                <w:sz w:val="21"/>
                <w:szCs w:val="21"/>
              </w:rPr>
              <w:t>alors que les produits varient fortement en pratique.</w:t>
            </w:r>
            <w:r w:rsidR="004847CB" w:rsidRPr="00F13910">
              <w:rPr>
                <w:sz w:val="21"/>
                <w:szCs w:val="21"/>
              </w:rPr>
              <w:t xml:space="preserve"> Le GREA </w:t>
            </w:r>
            <w:r w:rsidR="00665FA4" w:rsidRPr="00F13910">
              <w:rPr>
                <w:sz w:val="21"/>
                <w:szCs w:val="21"/>
              </w:rPr>
              <w:t xml:space="preserve">demande donc de </w:t>
            </w:r>
            <w:r w:rsidR="002E4DEE" w:rsidRPr="00F13910">
              <w:rPr>
                <w:sz w:val="21"/>
                <w:szCs w:val="21"/>
              </w:rPr>
              <w:t xml:space="preserve">supprimer la présomption </w:t>
            </w:r>
            <w:r w:rsidR="00746E4E" w:rsidRPr="00F13910">
              <w:rPr>
                <w:sz w:val="21"/>
                <w:szCs w:val="21"/>
              </w:rPr>
              <w:t>de cet</w:t>
            </w:r>
            <w:r w:rsidR="005F0363" w:rsidRPr="00F13910">
              <w:rPr>
                <w:sz w:val="21"/>
                <w:szCs w:val="21"/>
              </w:rPr>
              <w:t>te disposition.</w:t>
            </w:r>
          </w:p>
          <w:p w14:paraId="15976216" w14:textId="2F4B1EAD" w:rsidR="00EE1105" w:rsidRPr="00EE1105" w:rsidRDefault="00EE1105" w:rsidP="00EE1105">
            <w:pPr>
              <w:rPr>
                <w:sz w:val="21"/>
                <w:szCs w:val="21"/>
                <w:highlight w:val="yellow"/>
              </w:rPr>
            </w:pPr>
          </w:p>
        </w:tc>
        <w:tc>
          <w:tcPr>
            <w:tcW w:w="5517" w:type="dxa"/>
          </w:tcPr>
          <w:p w14:paraId="6B9AAB26" w14:textId="77777777" w:rsidR="00EE1105" w:rsidRDefault="00EE1105" w:rsidP="00EE1105">
            <w:pPr>
              <w:rPr>
                <w:b/>
                <w:bCs/>
                <w:sz w:val="21"/>
                <w:szCs w:val="21"/>
              </w:rPr>
            </w:pPr>
          </w:p>
        </w:tc>
      </w:tr>
      <w:tr w:rsidR="0072796F" w:rsidRPr="00717151" w14:paraId="3A46029A" w14:textId="77777777" w:rsidTr="0077201D">
        <w:trPr>
          <w:trHeight w:val="510"/>
        </w:trPr>
        <w:tc>
          <w:tcPr>
            <w:tcW w:w="729" w:type="dxa"/>
          </w:tcPr>
          <w:p w14:paraId="3B77AF40" w14:textId="37B87FA5" w:rsidR="0072796F" w:rsidRDefault="0072796F" w:rsidP="000303A8">
            <w:pPr>
              <w:rPr>
                <w:b/>
                <w:bCs/>
                <w:sz w:val="20"/>
                <w:szCs w:val="20"/>
              </w:rPr>
            </w:pPr>
            <w:r>
              <w:rPr>
                <w:b/>
                <w:bCs/>
                <w:sz w:val="20"/>
                <w:szCs w:val="20"/>
              </w:rPr>
              <w:t>20</w:t>
            </w:r>
          </w:p>
        </w:tc>
        <w:tc>
          <w:tcPr>
            <w:tcW w:w="708" w:type="dxa"/>
          </w:tcPr>
          <w:p w14:paraId="798AF95F" w14:textId="3C05B116" w:rsidR="0072796F" w:rsidRPr="00A5371A" w:rsidRDefault="0072796F" w:rsidP="000303A8">
            <w:pPr>
              <w:rPr>
                <w:b/>
                <w:bCs/>
                <w:sz w:val="20"/>
                <w:szCs w:val="20"/>
              </w:rPr>
            </w:pPr>
            <w:r>
              <w:rPr>
                <w:b/>
                <w:bCs/>
                <w:sz w:val="20"/>
                <w:szCs w:val="20"/>
              </w:rPr>
              <w:t>1</w:t>
            </w:r>
          </w:p>
        </w:tc>
        <w:tc>
          <w:tcPr>
            <w:tcW w:w="708" w:type="dxa"/>
          </w:tcPr>
          <w:p w14:paraId="638DAA85" w14:textId="41677228" w:rsidR="0072796F" w:rsidRPr="009C68A8" w:rsidRDefault="0072796F" w:rsidP="000303A8">
            <w:pPr>
              <w:rPr>
                <w:b/>
                <w:bCs/>
                <w:sz w:val="20"/>
                <w:szCs w:val="20"/>
                <w:lang w:val="de-CH"/>
              </w:rPr>
            </w:pPr>
            <w:proofErr w:type="gramStart"/>
            <w:r>
              <w:rPr>
                <w:b/>
                <w:bCs/>
                <w:sz w:val="20"/>
                <w:szCs w:val="20"/>
              </w:rPr>
              <w:t>a</w:t>
            </w:r>
            <w:proofErr w:type="gramEnd"/>
          </w:p>
        </w:tc>
        <w:tc>
          <w:tcPr>
            <w:tcW w:w="6650" w:type="dxa"/>
          </w:tcPr>
          <w:p w14:paraId="1F73EF01" w14:textId="77777777" w:rsidR="004A7DC3" w:rsidRDefault="004A7DC3" w:rsidP="004A7DC3">
            <w:pPr>
              <w:jc w:val="both"/>
              <w:rPr>
                <w:sz w:val="21"/>
                <w:szCs w:val="21"/>
              </w:rPr>
            </w:pPr>
            <w:r w:rsidRPr="004A7DC3">
              <w:rPr>
                <w:sz w:val="21"/>
                <w:szCs w:val="21"/>
              </w:rPr>
              <w:t>Le GREA recommande de relever la limite du taux de THC du cannabis non transformé de 20% à 30%.</w:t>
            </w:r>
          </w:p>
          <w:p w14:paraId="56A0380E" w14:textId="77777777" w:rsidR="004A7DC3" w:rsidRPr="004A7DC3" w:rsidRDefault="004A7DC3" w:rsidP="004A7DC3">
            <w:pPr>
              <w:jc w:val="both"/>
              <w:rPr>
                <w:sz w:val="21"/>
                <w:szCs w:val="21"/>
              </w:rPr>
            </w:pPr>
          </w:p>
          <w:p w14:paraId="3DA4AE0A" w14:textId="77777777" w:rsidR="004A7DC3" w:rsidRDefault="004A7DC3" w:rsidP="004A7DC3">
            <w:pPr>
              <w:jc w:val="both"/>
              <w:rPr>
                <w:sz w:val="21"/>
                <w:szCs w:val="21"/>
              </w:rPr>
            </w:pPr>
            <w:r w:rsidRPr="004A7DC3">
              <w:rPr>
                <w:sz w:val="21"/>
                <w:szCs w:val="21"/>
              </w:rPr>
              <w:t>Cette demande se fonde sur deux constats empiriques :</w:t>
            </w:r>
          </w:p>
          <w:p w14:paraId="4065ACF7" w14:textId="77777777" w:rsidR="004A7DC3" w:rsidRPr="004A7DC3" w:rsidRDefault="004A7DC3" w:rsidP="004A7DC3">
            <w:pPr>
              <w:jc w:val="both"/>
              <w:rPr>
                <w:sz w:val="21"/>
                <w:szCs w:val="21"/>
              </w:rPr>
            </w:pPr>
          </w:p>
          <w:p w14:paraId="71B583B5" w14:textId="4C4417C5" w:rsidR="004A7DC3" w:rsidRDefault="004A7DC3" w:rsidP="004A7DC3">
            <w:pPr>
              <w:jc w:val="both"/>
              <w:rPr>
                <w:sz w:val="21"/>
                <w:szCs w:val="21"/>
              </w:rPr>
            </w:pPr>
            <w:r w:rsidRPr="004A7DC3">
              <w:rPr>
                <w:b/>
                <w:bCs/>
                <w:sz w:val="21"/>
                <w:szCs w:val="21"/>
              </w:rPr>
              <w:t>Les données sur le marché illégal suisse</w:t>
            </w:r>
            <w:r w:rsidRPr="004A7DC3">
              <w:rPr>
                <w:sz w:val="21"/>
                <w:szCs w:val="21"/>
              </w:rPr>
              <w:t xml:space="preserve"> : </w:t>
            </w:r>
            <w:r>
              <w:rPr>
                <w:sz w:val="21"/>
                <w:szCs w:val="21"/>
              </w:rPr>
              <w:t>s</w:t>
            </w:r>
            <w:r w:rsidRPr="004A7DC3">
              <w:rPr>
                <w:sz w:val="21"/>
                <w:szCs w:val="21"/>
              </w:rPr>
              <w:t>elon les statistiques 2023 de la SSML, des échantillons de marijuana (fleurs) saisis atteignent jusqu'à 31,86% de THC (SSML, 2023). Les rapports 2024 et 2025 montrent une augmentation constante du taux de THC sur le marché illégal. Une limite à 20% ne permet donc pas de concurrencer efficacement l'ensemble des produits actuellement disponibles.</w:t>
            </w:r>
          </w:p>
          <w:p w14:paraId="1492E7DE" w14:textId="77777777" w:rsidR="004A7DC3" w:rsidRPr="004A7DC3" w:rsidRDefault="004A7DC3" w:rsidP="004A7DC3">
            <w:pPr>
              <w:jc w:val="both"/>
              <w:rPr>
                <w:sz w:val="21"/>
                <w:szCs w:val="21"/>
              </w:rPr>
            </w:pPr>
          </w:p>
          <w:p w14:paraId="5B8A9AEF" w14:textId="31065BE6" w:rsidR="004A7DC3" w:rsidRDefault="004A7DC3" w:rsidP="004A7DC3">
            <w:pPr>
              <w:jc w:val="both"/>
              <w:rPr>
                <w:sz w:val="21"/>
                <w:szCs w:val="21"/>
              </w:rPr>
            </w:pPr>
            <w:r w:rsidRPr="004A7DC3">
              <w:rPr>
                <w:b/>
                <w:bCs/>
                <w:sz w:val="21"/>
                <w:szCs w:val="21"/>
              </w:rPr>
              <w:t>Les premiers résultats des projets pilotes</w:t>
            </w:r>
            <w:r w:rsidRPr="004A7DC3">
              <w:rPr>
                <w:sz w:val="21"/>
                <w:szCs w:val="21"/>
              </w:rPr>
              <w:t xml:space="preserve"> : </w:t>
            </w:r>
            <w:r>
              <w:rPr>
                <w:sz w:val="21"/>
                <w:szCs w:val="21"/>
              </w:rPr>
              <w:t>l</w:t>
            </w:r>
            <w:r w:rsidRPr="004A7DC3">
              <w:rPr>
                <w:sz w:val="21"/>
                <w:szCs w:val="21"/>
              </w:rPr>
              <w:t xml:space="preserve">es essais pilotes montrent qu'une limite trop restrictive empêche de capter certains consommateurs qui continuent à s'approvisionner illégalement. </w:t>
            </w:r>
            <w:r w:rsidR="001808DD">
              <w:rPr>
                <w:sz w:val="21"/>
                <w:szCs w:val="21"/>
              </w:rPr>
              <w:t xml:space="preserve">Enfin, </w:t>
            </w:r>
            <w:r w:rsidR="001808DD">
              <w:rPr>
                <w:sz w:val="21"/>
                <w:szCs w:val="21"/>
              </w:rPr>
              <w:lastRenderedPageBreak/>
              <w:t>l</w:t>
            </w:r>
            <w:r w:rsidRPr="004A7DC3">
              <w:rPr>
                <w:sz w:val="21"/>
                <w:szCs w:val="21"/>
              </w:rPr>
              <w:t>'exemple du Québec, modèle de régulation stricte cité dans le rapport explicatif, a établi une limite de 30%.</w:t>
            </w:r>
          </w:p>
          <w:p w14:paraId="11007291" w14:textId="77777777" w:rsidR="004A7DC3" w:rsidRPr="004A7DC3" w:rsidRDefault="004A7DC3" w:rsidP="004A7DC3">
            <w:pPr>
              <w:jc w:val="both"/>
              <w:rPr>
                <w:sz w:val="21"/>
                <w:szCs w:val="21"/>
              </w:rPr>
            </w:pPr>
          </w:p>
          <w:p w14:paraId="7D778F0C" w14:textId="77777777" w:rsidR="0072796F" w:rsidRDefault="004A7DC3" w:rsidP="004A7DC3">
            <w:pPr>
              <w:jc w:val="both"/>
              <w:rPr>
                <w:sz w:val="21"/>
                <w:szCs w:val="21"/>
              </w:rPr>
            </w:pPr>
            <w:r w:rsidRPr="004A7DC3">
              <w:rPr>
                <w:sz w:val="21"/>
                <w:szCs w:val="21"/>
              </w:rPr>
              <w:t>Un relèvement à 30% permettrait de mieux concurrencer le marché illégal et de réduire l'exposition aux produits non contrôlés. La limite de 60% pour les produits transformés demeure appropriée.</w:t>
            </w:r>
          </w:p>
          <w:p w14:paraId="4CD397A4" w14:textId="6F66971E" w:rsidR="001808DD" w:rsidRPr="00B5681B" w:rsidRDefault="001808DD" w:rsidP="004A7DC3">
            <w:pPr>
              <w:jc w:val="both"/>
              <w:rPr>
                <w:sz w:val="21"/>
                <w:szCs w:val="21"/>
              </w:rPr>
            </w:pPr>
          </w:p>
        </w:tc>
        <w:tc>
          <w:tcPr>
            <w:tcW w:w="5517" w:type="dxa"/>
          </w:tcPr>
          <w:p w14:paraId="54538C5C" w14:textId="77777777" w:rsidR="009C68A8" w:rsidRPr="009C68A8" w:rsidRDefault="009C68A8" w:rsidP="009C68A8">
            <w:pPr>
              <w:rPr>
                <w:sz w:val="21"/>
                <w:szCs w:val="21"/>
              </w:rPr>
            </w:pPr>
            <w:r w:rsidRPr="009C68A8">
              <w:rPr>
                <w:b/>
                <w:bCs/>
                <w:sz w:val="21"/>
                <w:szCs w:val="21"/>
              </w:rPr>
              <w:lastRenderedPageBreak/>
              <w:t xml:space="preserve">Art. 20 </w:t>
            </w:r>
            <w:r w:rsidRPr="009C68A8">
              <w:rPr>
                <w:sz w:val="21"/>
                <w:szCs w:val="21"/>
              </w:rPr>
              <w:t>Exigences supplémentaires applicables aux produits cannabiques sans additifs</w:t>
            </w:r>
          </w:p>
          <w:p w14:paraId="55D5BCF4" w14:textId="77777777" w:rsidR="008B61A4" w:rsidRDefault="009C68A8" w:rsidP="009C68A8">
            <w:pPr>
              <w:rPr>
                <w:sz w:val="21"/>
                <w:szCs w:val="21"/>
              </w:rPr>
            </w:pPr>
            <w:r w:rsidRPr="009C68A8">
              <w:rPr>
                <w:sz w:val="21"/>
                <w:szCs w:val="21"/>
                <w:vertAlign w:val="superscript"/>
              </w:rPr>
              <w:t>1</w:t>
            </w:r>
            <w:r w:rsidRPr="009C68A8">
              <w:rPr>
                <w:sz w:val="21"/>
                <w:szCs w:val="21"/>
              </w:rPr>
              <w:t xml:space="preserve"> Les exigences suivantes s’appliquent aux produits cannabiques sans additifs issus de cannabis non transformé :</w:t>
            </w:r>
          </w:p>
          <w:p w14:paraId="56945C0A" w14:textId="77777777" w:rsidR="0072796F" w:rsidRPr="008B61A4" w:rsidRDefault="009C68A8" w:rsidP="008B61A4">
            <w:pPr>
              <w:pStyle w:val="Paragraphedeliste"/>
              <w:numPr>
                <w:ilvl w:val="0"/>
                <w:numId w:val="13"/>
              </w:numPr>
              <w:rPr>
                <w:sz w:val="21"/>
                <w:szCs w:val="21"/>
              </w:rPr>
            </w:pPr>
            <w:proofErr w:type="gramStart"/>
            <w:r w:rsidRPr="008B61A4">
              <w:rPr>
                <w:sz w:val="21"/>
                <w:szCs w:val="21"/>
              </w:rPr>
              <w:t>la</w:t>
            </w:r>
            <w:proofErr w:type="gramEnd"/>
            <w:r w:rsidRPr="008B61A4">
              <w:rPr>
                <w:sz w:val="21"/>
                <w:szCs w:val="21"/>
              </w:rPr>
              <w:t xml:space="preserve"> teneur totale en THC ne doit pas dépasser </w:t>
            </w:r>
            <w:r w:rsidRPr="007C347F">
              <w:rPr>
                <w:b/>
                <w:bCs/>
                <w:sz w:val="21"/>
                <w:szCs w:val="21"/>
              </w:rPr>
              <w:t>30%</w:t>
            </w:r>
          </w:p>
          <w:p w14:paraId="681D647D" w14:textId="77777777" w:rsidR="00EE1105" w:rsidRDefault="00EE1105" w:rsidP="00EE1105">
            <w:pPr>
              <w:rPr>
                <w:sz w:val="21"/>
                <w:szCs w:val="21"/>
              </w:rPr>
            </w:pPr>
          </w:p>
          <w:p w14:paraId="7381DEEB" w14:textId="638D28C8" w:rsidR="00EE1105" w:rsidRDefault="00EE1105" w:rsidP="00EE1105">
            <w:pPr>
              <w:rPr>
                <w:sz w:val="21"/>
                <w:szCs w:val="21"/>
              </w:rPr>
            </w:pPr>
            <w:r>
              <w:rPr>
                <w:sz w:val="21"/>
                <w:szCs w:val="21"/>
              </w:rPr>
              <w:t>(…)</w:t>
            </w:r>
          </w:p>
          <w:p w14:paraId="641CB14E" w14:textId="77777777" w:rsidR="00EE1105" w:rsidRDefault="00EE1105" w:rsidP="00EE1105">
            <w:pPr>
              <w:rPr>
                <w:sz w:val="21"/>
                <w:szCs w:val="21"/>
              </w:rPr>
            </w:pPr>
          </w:p>
          <w:p w14:paraId="7E35D894" w14:textId="77777777" w:rsidR="00EE1105" w:rsidRPr="004D37C5" w:rsidRDefault="00EE1105" w:rsidP="00EE1105">
            <w:pPr>
              <w:jc w:val="both"/>
              <w:rPr>
                <w:sz w:val="21"/>
                <w:szCs w:val="21"/>
              </w:rPr>
            </w:pPr>
            <w:r w:rsidRPr="004D37C5">
              <w:rPr>
                <w:sz w:val="21"/>
                <w:szCs w:val="21"/>
              </w:rPr>
              <w:t xml:space="preserve">3 Le Conseil fédéral peut prévoir des exigences supplémentaires pour la vente des produits cannabiques visés à l’al. 2 dont la teneur totale en THC est supérieure à </w:t>
            </w:r>
            <w:r w:rsidRPr="004D37C5">
              <w:rPr>
                <w:b/>
                <w:bCs/>
                <w:sz w:val="21"/>
                <w:szCs w:val="21"/>
              </w:rPr>
              <w:t>30</w:t>
            </w:r>
            <w:r w:rsidRPr="004D37C5">
              <w:rPr>
                <w:sz w:val="21"/>
                <w:szCs w:val="21"/>
              </w:rPr>
              <w:t xml:space="preserve"> %.</w:t>
            </w:r>
          </w:p>
          <w:p w14:paraId="6C6D5AEC" w14:textId="3F0DA8F8" w:rsidR="009C68A8" w:rsidRPr="004D37C5" w:rsidRDefault="009C68A8" w:rsidP="009C68A8">
            <w:pPr>
              <w:rPr>
                <w:sz w:val="21"/>
                <w:szCs w:val="21"/>
              </w:rPr>
            </w:pPr>
          </w:p>
        </w:tc>
      </w:tr>
      <w:tr w:rsidR="00B87711" w:rsidRPr="00717151" w14:paraId="392F3DA9" w14:textId="77777777" w:rsidTr="0077201D">
        <w:trPr>
          <w:trHeight w:val="510"/>
        </w:trPr>
        <w:tc>
          <w:tcPr>
            <w:tcW w:w="729" w:type="dxa"/>
          </w:tcPr>
          <w:p w14:paraId="70EE7623" w14:textId="35BB0938" w:rsidR="00B87711" w:rsidRDefault="009507F3" w:rsidP="000303A8">
            <w:pPr>
              <w:rPr>
                <w:b/>
                <w:bCs/>
                <w:sz w:val="20"/>
                <w:szCs w:val="20"/>
              </w:rPr>
            </w:pPr>
            <w:r>
              <w:rPr>
                <w:b/>
                <w:bCs/>
                <w:sz w:val="20"/>
                <w:szCs w:val="20"/>
              </w:rPr>
              <w:t>21</w:t>
            </w:r>
          </w:p>
        </w:tc>
        <w:tc>
          <w:tcPr>
            <w:tcW w:w="708" w:type="dxa"/>
          </w:tcPr>
          <w:p w14:paraId="07371E1F" w14:textId="635D7492" w:rsidR="00B87711" w:rsidRPr="00A5371A" w:rsidRDefault="009507F3" w:rsidP="000303A8">
            <w:pPr>
              <w:rPr>
                <w:b/>
                <w:bCs/>
                <w:sz w:val="20"/>
                <w:szCs w:val="20"/>
              </w:rPr>
            </w:pPr>
            <w:r>
              <w:rPr>
                <w:b/>
                <w:bCs/>
                <w:sz w:val="20"/>
                <w:szCs w:val="20"/>
              </w:rPr>
              <w:t>1</w:t>
            </w:r>
          </w:p>
        </w:tc>
        <w:tc>
          <w:tcPr>
            <w:tcW w:w="708" w:type="dxa"/>
          </w:tcPr>
          <w:p w14:paraId="688B330C" w14:textId="134DECF8" w:rsidR="00B87711" w:rsidRPr="00A5371A" w:rsidRDefault="009507F3" w:rsidP="000303A8">
            <w:pPr>
              <w:rPr>
                <w:b/>
                <w:bCs/>
                <w:sz w:val="20"/>
                <w:szCs w:val="20"/>
              </w:rPr>
            </w:pPr>
            <w:proofErr w:type="gramStart"/>
            <w:r>
              <w:rPr>
                <w:b/>
                <w:bCs/>
                <w:sz w:val="20"/>
                <w:szCs w:val="20"/>
              </w:rPr>
              <w:t>c</w:t>
            </w:r>
            <w:proofErr w:type="gramEnd"/>
          </w:p>
        </w:tc>
        <w:tc>
          <w:tcPr>
            <w:tcW w:w="6650" w:type="dxa"/>
          </w:tcPr>
          <w:p w14:paraId="3F323E82" w14:textId="2F889719" w:rsidR="00B87711" w:rsidRPr="00B5681B" w:rsidRDefault="009507F3" w:rsidP="000C3C75">
            <w:pPr>
              <w:rPr>
                <w:sz w:val="21"/>
                <w:szCs w:val="21"/>
              </w:rPr>
            </w:pPr>
            <w:r w:rsidRPr="009507F3">
              <w:rPr>
                <w:sz w:val="21"/>
                <w:szCs w:val="21"/>
              </w:rPr>
              <w:t>Nous saluons la volonté de bannir la nicotine comme additif au cannabis. L’expérience du tabac montre que des dérivées de la nicotine (molécules analogues aux effets similaires) arrivent sur le marché et contournent la loi lorsque la définition de la nicotine n’est pas suffisamment large. Pour éviter ce risque, nous proposons d’adapter l’art. 21, al. 1, let. c.</w:t>
            </w:r>
          </w:p>
        </w:tc>
        <w:tc>
          <w:tcPr>
            <w:tcW w:w="5517" w:type="dxa"/>
          </w:tcPr>
          <w:p w14:paraId="0DB2C5CA" w14:textId="77777777" w:rsidR="009378DC" w:rsidRPr="009378DC" w:rsidRDefault="009378DC" w:rsidP="009378DC">
            <w:pPr>
              <w:rPr>
                <w:b/>
                <w:bCs/>
                <w:sz w:val="21"/>
                <w:szCs w:val="21"/>
              </w:rPr>
            </w:pPr>
            <w:r w:rsidRPr="009378DC">
              <w:rPr>
                <w:b/>
                <w:bCs/>
                <w:sz w:val="21"/>
                <w:szCs w:val="21"/>
              </w:rPr>
              <w:t xml:space="preserve">Art. 21 </w:t>
            </w:r>
          </w:p>
          <w:p w14:paraId="1E5A8E22" w14:textId="77777777" w:rsidR="009378DC" w:rsidRPr="009378DC" w:rsidRDefault="009378DC" w:rsidP="009378DC">
            <w:pPr>
              <w:rPr>
                <w:sz w:val="21"/>
                <w:szCs w:val="21"/>
              </w:rPr>
            </w:pPr>
            <w:r w:rsidRPr="009378DC">
              <w:rPr>
                <w:sz w:val="21"/>
                <w:szCs w:val="21"/>
              </w:rPr>
              <w:t>Al. 1</w:t>
            </w:r>
          </w:p>
          <w:p w14:paraId="0594D154" w14:textId="130B673A" w:rsidR="00B87711" w:rsidRDefault="009378DC" w:rsidP="009378DC">
            <w:pPr>
              <w:rPr>
                <w:b/>
                <w:bCs/>
                <w:sz w:val="21"/>
                <w:szCs w:val="21"/>
              </w:rPr>
            </w:pPr>
            <w:r w:rsidRPr="009378DC">
              <w:rPr>
                <w:sz w:val="21"/>
                <w:szCs w:val="21"/>
              </w:rPr>
              <w:t>c. ils doivent être exempts d’alcool et de nicotine, d’alcaloïdes nicotiniques ou dérivé avec un effet semblable.</w:t>
            </w:r>
          </w:p>
        </w:tc>
      </w:tr>
      <w:tr w:rsidR="00204EDD" w:rsidRPr="00717151" w14:paraId="5D5C6F58" w14:textId="77777777" w:rsidTr="0077201D">
        <w:trPr>
          <w:trHeight w:val="510"/>
        </w:trPr>
        <w:tc>
          <w:tcPr>
            <w:tcW w:w="729" w:type="dxa"/>
          </w:tcPr>
          <w:p w14:paraId="36653168" w14:textId="6F77FC36" w:rsidR="00204EDD" w:rsidRPr="007F400D" w:rsidRDefault="00597CD0" w:rsidP="000303A8">
            <w:pPr>
              <w:rPr>
                <w:b/>
                <w:bCs/>
                <w:sz w:val="20"/>
                <w:szCs w:val="20"/>
              </w:rPr>
            </w:pPr>
            <w:r w:rsidRPr="007F400D">
              <w:rPr>
                <w:b/>
                <w:bCs/>
                <w:sz w:val="20"/>
                <w:szCs w:val="20"/>
              </w:rPr>
              <w:t>27bis</w:t>
            </w:r>
          </w:p>
        </w:tc>
        <w:tc>
          <w:tcPr>
            <w:tcW w:w="708" w:type="dxa"/>
          </w:tcPr>
          <w:p w14:paraId="63252B4F" w14:textId="77777777" w:rsidR="00204EDD" w:rsidRPr="007F400D" w:rsidRDefault="00204EDD" w:rsidP="000303A8">
            <w:pPr>
              <w:rPr>
                <w:b/>
                <w:bCs/>
                <w:sz w:val="20"/>
                <w:szCs w:val="20"/>
              </w:rPr>
            </w:pPr>
          </w:p>
        </w:tc>
        <w:tc>
          <w:tcPr>
            <w:tcW w:w="708" w:type="dxa"/>
          </w:tcPr>
          <w:p w14:paraId="23FB6F4F" w14:textId="77777777" w:rsidR="00204EDD" w:rsidRPr="007F400D" w:rsidRDefault="00204EDD" w:rsidP="000303A8">
            <w:pPr>
              <w:rPr>
                <w:b/>
                <w:bCs/>
                <w:sz w:val="20"/>
                <w:szCs w:val="20"/>
              </w:rPr>
            </w:pPr>
          </w:p>
        </w:tc>
        <w:tc>
          <w:tcPr>
            <w:tcW w:w="6650" w:type="dxa"/>
          </w:tcPr>
          <w:p w14:paraId="3E2858B0" w14:textId="77777777" w:rsidR="00204EDD" w:rsidRPr="007F400D" w:rsidRDefault="00204EDD" w:rsidP="00204EDD">
            <w:pPr>
              <w:rPr>
                <w:sz w:val="20"/>
                <w:szCs w:val="20"/>
              </w:rPr>
            </w:pPr>
            <w:r w:rsidRPr="007F400D">
              <w:rPr>
                <w:sz w:val="20"/>
                <w:szCs w:val="20"/>
              </w:rPr>
              <w:t xml:space="preserve">(Nouveau) La loi sur les produits du tabac prévoit une quantité au minimum pour la vente de cigarettes. En effet, les cigarettes sont préemballées et remises aux consommations dans des emballages de 20 cigarettes au minimum (art. 8 </w:t>
            </w:r>
            <w:proofErr w:type="spellStart"/>
            <w:r w:rsidRPr="007F400D">
              <w:rPr>
                <w:sz w:val="20"/>
                <w:szCs w:val="20"/>
              </w:rPr>
              <w:t>LPTab</w:t>
            </w:r>
            <w:proofErr w:type="spellEnd"/>
            <w:r w:rsidRPr="007F400D">
              <w:rPr>
                <w:sz w:val="20"/>
                <w:szCs w:val="20"/>
              </w:rPr>
              <w:t>).</w:t>
            </w:r>
          </w:p>
          <w:p w14:paraId="2CDF29FC" w14:textId="77777777" w:rsidR="00204EDD" w:rsidRPr="007F400D" w:rsidRDefault="00204EDD" w:rsidP="00204EDD">
            <w:pPr>
              <w:rPr>
                <w:sz w:val="20"/>
                <w:szCs w:val="20"/>
              </w:rPr>
            </w:pPr>
            <w:r w:rsidRPr="007F400D">
              <w:rPr>
                <w:sz w:val="20"/>
                <w:szCs w:val="20"/>
              </w:rPr>
              <w:t>Une quantité minimale doit avoir un effet dissuasif grâce à un prix plus élevé. Cela permet entre autres de dissuader les jeunes de commencer à fumer en achetant des produits à la pièce. Ça peut également dissuader les personnes ex-fumeuses de se laisser tenter par une seule cigarette.</w:t>
            </w:r>
          </w:p>
          <w:p w14:paraId="085A7E6B" w14:textId="77777777" w:rsidR="00204EDD" w:rsidRPr="007F400D" w:rsidRDefault="00204EDD" w:rsidP="00204EDD">
            <w:pPr>
              <w:rPr>
                <w:sz w:val="20"/>
                <w:szCs w:val="20"/>
              </w:rPr>
            </w:pPr>
          </w:p>
          <w:p w14:paraId="12B0887E" w14:textId="77777777" w:rsidR="00204EDD" w:rsidRPr="007F400D" w:rsidRDefault="00204EDD" w:rsidP="00204EDD">
            <w:pPr>
              <w:rPr>
                <w:sz w:val="20"/>
                <w:szCs w:val="20"/>
              </w:rPr>
            </w:pPr>
            <w:r w:rsidRPr="007F400D">
              <w:rPr>
                <w:sz w:val="20"/>
                <w:szCs w:val="20"/>
              </w:rPr>
              <w:t xml:space="preserve">De même pour les liquides, la loi sur les produits du tabac prévoit une quantité maximale en millilitre (10 ml par recharge, 2 ml pour cartouche à usage unique ; art. 9 </w:t>
            </w:r>
            <w:proofErr w:type="spellStart"/>
            <w:r w:rsidRPr="007F400D">
              <w:rPr>
                <w:sz w:val="20"/>
                <w:szCs w:val="20"/>
              </w:rPr>
              <w:t>LPTab</w:t>
            </w:r>
            <w:proofErr w:type="spellEnd"/>
            <w:r w:rsidRPr="007F400D">
              <w:rPr>
                <w:sz w:val="20"/>
                <w:szCs w:val="20"/>
              </w:rPr>
              <w:t>). Cette quantité serait basée sur la dose létale pour l’être humain.</w:t>
            </w:r>
          </w:p>
          <w:p w14:paraId="7FE9FBF8" w14:textId="77777777" w:rsidR="00204EDD" w:rsidRPr="007F400D" w:rsidRDefault="00204EDD" w:rsidP="000C3C75">
            <w:pPr>
              <w:rPr>
                <w:sz w:val="21"/>
                <w:szCs w:val="21"/>
              </w:rPr>
            </w:pPr>
          </w:p>
        </w:tc>
        <w:tc>
          <w:tcPr>
            <w:tcW w:w="5517" w:type="dxa"/>
          </w:tcPr>
          <w:p w14:paraId="4E7443DE" w14:textId="5191550D" w:rsidR="00204EDD" w:rsidRPr="004E6EEA" w:rsidRDefault="004E6EEA" w:rsidP="009378DC">
            <w:pPr>
              <w:rPr>
                <w:sz w:val="21"/>
                <w:szCs w:val="21"/>
              </w:rPr>
            </w:pPr>
            <w:r w:rsidRPr="007F400D">
              <w:rPr>
                <w:b/>
                <w:bCs/>
                <w:sz w:val="21"/>
                <w:szCs w:val="21"/>
              </w:rPr>
              <w:t xml:space="preserve">Art. 27bis (nouveau) </w:t>
            </w:r>
            <w:r w:rsidRPr="007F400D">
              <w:rPr>
                <w:sz w:val="21"/>
                <w:szCs w:val="21"/>
              </w:rPr>
              <w:t>Conditionnement</w:t>
            </w:r>
          </w:p>
        </w:tc>
      </w:tr>
      <w:tr w:rsidR="0077201D" w:rsidRPr="00717151" w14:paraId="3E7B386E" w14:textId="77777777" w:rsidTr="0077201D">
        <w:trPr>
          <w:trHeight w:val="510"/>
        </w:trPr>
        <w:tc>
          <w:tcPr>
            <w:tcW w:w="729" w:type="dxa"/>
          </w:tcPr>
          <w:p w14:paraId="5BFF30E2" w14:textId="1ED8DF87" w:rsidR="0077201D" w:rsidRDefault="0077201D" w:rsidP="000303A8">
            <w:pPr>
              <w:rPr>
                <w:b/>
                <w:bCs/>
                <w:sz w:val="20"/>
                <w:szCs w:val="20"/>
              </w:rPr>
            </w:pPr>
            <w:r>
              <w:rPr>
                <w:b/>
                <w:bCs/>
                <w:sz w:val="20"/>
                <w:szCs w:val="20"/>
              </w:rPr>
              <w:t>30</w:t>
            </w:r>
          </w:p>
        </w:tc>
        <w:tc>
          <w:tcPr>
            <w:tcW w:w="708" w:type="dxa"/>
          </w:tcPr>
          <w:p w14:paraId="68034769" w14:textId="0103F0C6" w:rsidR="0077201D" w:rsidRDefault="0077201D" w:rsidP="000303A8">
            <w:pPr>
              <w:rPr>
                <w:b/>
                <w:bCs/>
                <w:sz w:val="20"/>
                <w:szCs w:val="20"/>
              </w:rPr>
            </w:pPr>
            <w:r>
              <w:rPr>
                <w:b/>
                <w:bCs/>
                <w:sz w:val="20"/>
                <w:szCs w:val="20"/>
              </w:rPr>
              <w:t>1</w:t>
            </w:r>
          </w:p>
        </w:tc>
        <w:tc>
          <w:tcPr>
            <w:tcW w:w="708" w:type="dxa"/>
          </w:tcPr>
          <w:p w14:paraId="60D763E7" w14:textId="77777777" w:rsidR="0077201D" w:rsidRPr="00A5371A" w:rsidRDefault="0077201D" w:rsidP="000303A8">
            <w:pPr>
              <w:rPr>
                <w:b/>
                <w:bCs/>
                <w:sz w:val="20"/>
                <w:szCs w:val="20"/>
              </w:rPr>
            </w:pPr>
          </w:p>
        </w:tc>
        <w:tc>
          <w:tcPr>
            <w:tcW w:w="6650" w:type="dxa"/>
          </w:tcPr>
          <w:p w14:paraId="4220902D" w14:textId="1CE493C4" w:rsidR="0077201D" w:rsidRPr="007F400D" w:rsidRDefault="0077201D" w:rsidP="007A160D">
            <w:pPr>
              <w:rPr>
                <w:sz w:val="21"/>
                <w:szCs w:val="21"/>
              </w:rPr>
            </w:pPr>
            <w:r w:rsidRPr="007F400D">
              <w:rPr>
                <w:sz w:val="20"/>
                <w:szCs w:val="20"/>
              </w:rPr>
              <w:t xml:space="preserve">Nous proposons d’ajouter des mises en garde avec un message davantage constructifs (positifs, motivationnels) : ex. </w:t>
            </w:r>
            <w:r w:rsidR="007F400D" w:rsidRPr="007F400D">
              <w:rPr>
                <w:sz w:val="20"/>
                <w:szCs w:val="20"/>
              </w:rPr>
              <w:t>« </w:t>
            </w:r>
            <w:r w:rsidRPr="007F400D">
              <w:rPr>
                <w:sz w:val="20"/>
                <w:szCs w:val="20"/>
              </w:rPr>
              <w:t>Préférez un mode de consommation sans tabac, ni combustion</w:t>
            </w:r>
            <w:r w:rsidR="007F400D" w:rsidRPr="007F400D">
              <w:rPr>
                <w:sz w:val="20"/>
                <w:szCs w:val="20"/>
              </w:rPr>
              <w:t> ».</w:t>
            </w:r>
          </w:p>
        </w:tc>
        <w:tc>
          <w:tcPr>
            <w:tcW w:w="5517" w:type="dxa"/>
          </w:tcPr>
          <w:p w14:paraId="7647E077" w14:textId="77777777" w:rsidR="0077201D" w:rsidRPr="007D24E4" w:rsidRDefault="0077201D" w:rsidP="00EE35BB">
            <w:pPr>
              <w:rPr>
                <w:b/>
                <w:bCs/>
                <w:sz w:val="21"/>
                <w:szCs w:val="21"/>
              </w:rPr>
            </w:pPr>
          </w:p>
        </w:tc>
      </w:tr>
      <w:tr w:rsidR="00C81712" w:rsidRPr="00717151" w14:paraId="6C5B698C" w14:textId="77777777" w:rsidTr="0077201D">
        <w:trPr>
          <w:trHeight w:val="510"/>
        </w:trPr>
        <w:tc>
          <w:tcPr>
            <w:tcW w:w="729" w:type="dxa"/>
          </w:tcPr>
          <w:p w14:paraId="15E7B4F6" w14:textId="4744D6A1" w:rsidR="00C81712" w:rsidRDefault="00103F63" w:rsidP="000303A8">
            <w:pPr>
              <w:rPr>
                <w:b/>
                <w:bCs/>
                <w:sz w:val="20"/>
                <w:szCs w:val="20"/>
              </w:rPr>
            </w:pPr>
            <w:r>
              <w:rPr>
                <w:b/>
                <w:bCs/>
                <w:sz w:val="20"/>
                <w:szCs w:val="20"/>
              </w:rPr>
              <w:t>39</w:t>
            </w:r>
          </w:p>
        </w:tc>
        <w:tc>
          <w:tcPr>
            <w:tcW w:w="708" w:type="dxa"/>
          </w:tcPr>
          <w:p w14:paraId="75160DB7" w14:textId="36EAAFF0" w:rsidR="00C81712" w:rsidRPr="00A5371A" w:rsidRDefault="00103F63" w:rsidP="000303A8">
            <w:pPr>
              <w:rPr>
                <w:b/>
                <w:bCs/>
                <w:sz w:val="20"/>
                <w:szCs w:val="20"/>
              </w:rPr>
            </w:pPr>
            <w:r>
              <w:rPr>
                <w:b/>
                <w:bCs/>
                <w:sz w:val="20"/>
                <w:szCs w:val="20"/>
              </w:rPr>
              <w:t>2</w:t>
            </w:r>
          </w:p>
        </w:tc>
        <w:tc>
          <w:tcPr>
            <w:tcW w:w="708" w:type="dxa"/>
          </w:tcPr>
          <w:p w14:paraId="6A192934" w14:textId="77777777" w:rsidR="00C81712" w:rsidRPr="00A5371A" w:rsidRDefault="00C81712" w:rsidP="000303A8">
            <w:pPr>
              <w:rPr>
                <w:b/>
                <w:bCs/>
                <w:sz w:val="20"/>
                <w:szCs w:val="20"/>
              </w:rPr>
            </w:pPr>
          </w:p>
        </w:tc>
        <w:tc>
          <w:tcPr>
            <w:tcW w:w="6650" w:type="dxa"/>
          </w:tcPr>
          <w:p w14:paraId="7B19B823" w14:textId="77777777" w:rsidR="007A160D" w:rsidRDefault="007A160D" w:rsidP="007A160D">
            <w:pPr>
              <w:rPr>
                <w:sz w:val="21"/>
                <w:szCs w:val="21"/>
              </w:rPr>
            </w:pPr>
            <w:r w:rsidRPr="00D0204A">
              <w:rPr>
                <w:sz w:val="21"/>
                <w:szCs w:val="21"/>
              </w:rPr>
              <w:t>Dans c</w:t>
            </w:r>
            <w:r>
              <w:rPr>
                <w:sz w:val="21"/>
                <w:szCs w:val="21"/>
              </w:rPr>
              <w:t xml:space="preserve">et avant-projet, la </w:t>
            </w:r>
            <w:proofErr w:type="spellStart"/>
            <w:r>
              <w:rPr>
                <w:sz w:val="21"/>
                <w:szCs w:val="21"/>
              </w:rPr>
              <w:t>LPCan</w:t>
            </w:r>
            <w:proofErr w:type="spellEnd"/>
            <w:r>
              <w:rPr>
                <w:sz w:val="21"/>
                <w:szCs w:val="21"/>
              </w:rPr>
              <w:t xml:space="preserve"> prévoit que la vente de produits cannabiques dans les points de vente terrestres puisse être réalisée </w:t>
            </w:r>
            <w:r>
              <w:rPr>
                <w:sz w:val="21"/>
                <w:szCs w:val="21"/>
              </w:rPr>
              <w:lastRenderedPageBreak/>
              <w:t xml:space="preserve">par les cantons, des institutions ou corporations de droit public ou des tiers. </w:t>
            </w:r>
          </w:p>
          <w:p w14:paraId="24BA0D54" w14:textId="77777777" w:rsidR="007A160D" w:rsidRDefault="007A160D" w:rsidP="007A160D">
            <w:pPr>
              <w:rPr>
                <w:sz w:val="21"/>
                <w:szCs w:val="21"/>
              </w:rPr>
            </w:pPr>
            <w:r>
              <w:rPr>
                <w:sz w:val="21"/>
                <w:szCs w:val="21"/>
              </w:rPr>
              <w:t>Sur la base des expériences des essais-pilotes, le GREA propose de modifier cet article afin que la vente ne puisse être exercée que par les cantons ou par des organisations d’utilité publique au bénéfice d’une concession. C’est le modèle des projets pilote romands (</w:t>
            </w:r>
            <w:proofErr w:type="spellStart"/>
            <w:r>
              <w:rPr>
                <w:sz w:val="21"/>
                <w:szCs w:val="21"/>
              </w:rPr>
              <w:t>CannL</w:t>
            </w:r>
            <w:proofErr w:type="spellEnd"/>
            <w:r>
              <w:rPr>
                <w:sz w:val="21"/>
                <w:szCs w:val="21"/>
              </w:rPr>
              <w:t xml:space="preserve"> et </w:t>
            </w:r>
            <w:proofErr w:type="spellStart"/>
            <w:r>
              <w:rPr>
                <w:sz w:val="21"/>
                <w:szCs w:val="21"/>
              </w:rPr>
              <w:t>ChanGE</w:t>
            </w:r>
            <w:proofErr w:type="spellEnd"/>
            <w:r>
              <w:rPr>
                <w:sz w:val="21"/>
                <w:szCs w:val="21"/>
              </w:rPr>
              <w:t xml:space="preserve">). L’analyse des résultats des essais-pilotes mandatée par l’OFSP et menée par Prof. Dr. Céline </w:t>
            </w:r>
            <w:proofErr w:type="spellStart"/>
            <w:r>
              <w:rPr>
                <w:sz w:val="21"/>
                <w:szCs w:val="21"/>
              </w:rPr>
              <w:t>Mavrot</w:t>
            </w:r>
            <w:proofErr w:type="spellEnd"/>
            <w:r>
              <w:rPr>
                <w:sz w:val="21"/>
                <w:szCs w:val="21"/>
              </w:rPr>
              <w:t xml:space="preserve"> montre que les projets associatifs présentent de meilleurs résultats sous l’angle de la santé publique et sont moins enclins à faire de la publicité, du merchandising ou du recrutement actif de clientèle.</w:t>
            </w:r>
          </w:p>
          <w:p w14:paraId="624E962A" w14:textId="559AE34F" w:rsidR="00C81712" w:rsidRPr="004D5964" w:rsidRDefault="007A160D" w:rsidP="007A160D">
            <w:pPr>
              <w:rPr>
                <w:sz w:val="21"/>
                <w:szCs w:val="21"/>
              </w:rPr>
            </w:pPr>
            <w:r>
              <w:rPr>
                <w:sz w:val="21"/>
                <w:szCs w:val="21"/>
              </w:rPr>
              <w:t xml:space="preserve">Afin de mettre en œuvre </w:t>
            </w:r>
            <w:proofErr w:type="spellStart"/>
            <w:r>
              <w:rPr>
                <w:sz w:val="21"/>
                <w:szCs w:val="21"/>
              </w:rPr>
              <w:t>le</w:t>
            </w:r>
            <w:proofErr w:type="spellEnd"/>
            <w:r>
              <w:rPr>
                <w:sz w:val="21"/>
                <w:szCs w:val="21"/>
              </w:rPr>
              <w:t xml:space="preserve"> l’art. 1 de la </w:t>
            </w:r>
            <w:proofErr w:type="spellStart"/>
            <w:r>
              <w:rPr>
                <w:sz w:val="21"/>
                <w:szCs w:val="21"/>
              </w:rPr>
              <w:t>LPCan</w:t>
            </w:r>
            <w:proofErr w:type="spellEnd"/>
            <w:r>
              <w:rPr>
                <w:sz w:val="21"/>
                <w:szCs w:val="21"/>
              </w:rPr>
              <w:t xml:space="preserve">, qui demande de protéger la population, en particulier les mineurs et les personnes qui ne consomment pas, des effets nocifs du cannabis, ainsi que de réglementer la vente de produits cannabiques sans encourager la consommation (let. </w:t>
            </w:r>
            <w:proofErr w:type="gramStart"/>
            <w:r>
              <w:rPr>
                <w:sz w:val="21"/>
                <w:szCs w:val="21"/>
              </w:rPr>
              <w:t>e</w:t>
            </w:r>
            <w:proofErr w:type="gramEnd"/>
            <w:r>
              <w:rPr>
                <w:sz w:val="21"/>
                <w:szCs w:val="21"/>
              </w:rPr>
              <w:t xml:space="preserve">), il est nécessaire de tenir compte de l’expérience des essais pilote et de n’autoriser que les organisations d’utilité publique </w:t>
            </w:r>
            <w:r w:rsidR="00B06089">
              <w:rPr>
                <w:sz w:val="21"/>
                <w:szCs w:val="21"/>
              </w:rPr>
              <w:t xml:space="preserve">sans but lucratif </w:t>
            </w:r>
            <w:r>
              <w:rPr>
                <w:sz w:val="21"/>
                <w:szCs w:val="21"/>
              </w:rPr>
              <w:t>à obtenir une concession de vente.</w:t>
            </w:r>
            <w:r w:rsidR="00B06089">
              <w:rPr>
                <w:sz w:val="21"/>
                <w:szCs w:val="21"/>
              </w:rPr>
              <w:t xml:space="preserve"> Le GREA ne se rallie donc ni à la proposition de majorité ni de minorité, mais propose une troisième voie.</w:t>
            </w:r>
          </w:p>
        </w:tc>
        <w:tc>
          <w:tcPr>
            <w:tcW w:w="5517" w:type="dxa"/>
          </w:tcPr>
          <w:p w14:paraId="60D4BEC9" w14:textId="77777777" w:rsidR="00EE35BB" w:rsidRPr="007D24E4" w:rsidRDefault="00EE35BB" w:rsidP="00EE35BB">
            <w:pPr>
              <w:rPr>
                <w:sz w:val="21"/>
                <w:szCs w:val="21"/>
              </w:rPr>
            </w:pPr>
            <w:r w:rsidRPr="007D24E4">
              <w:rPr>
                <w:b/>
                <w:bCs/>
                <w:sz w:val="21"/>
                <w:szCs w:val="21"/>
              </w:rPr>
              <w:lastRenderedPageBreak/>
              <w:t xml:space="preserve">Art. 39 </w:t>
            </w:r>
            <w:r w:rsidRPr="007D24E4">
              <w:rPr>
                <w:sz w:val="21"/>
                <w:szCs w:val="21"/>
              </w:rPr>
              <w:t>Principes</w:t>
            </w:r>
          </w:p>
          <w:p w14:paraId="5CA7FD49" w14:textId="77777777" w:rsidR="00EE35BB" w:rsidRPr="007D24E4" w:rsidRDefault="00EE35BB" w:rsidP="00EE35BB">
            <w:pPr>
              <w:rPr>
                <w:sz w:val="21"/>
                <w:szCs w:val="21"/>
              </w:rPr>
            </w:pPr>
            <w:r w:rsidRPr="007D24E4">
              <w:rPr>
                <w:sz w:val="21"/>
                <w:szCs w:val="21"/>
                <w:vertAlign w:val="superscript"/>
              </w:rPr>
              <w:t>1</w:t>
            </w:r>
            <w:r w:rsidRPr="007D24E4">
              <w:rPr>
                <w:sz w:val="21"/>
                <w:szCs w:val="21"/>
              </w:rPr>
              <w:t xml:space="preserve"> (inchangé)</w:t>
            </w:r>
          </w:p>
          <w:p w14:paraId="33ACB250" w14:textId="77777777" w:rsidR="00EE35BB" w:rsidRPr="007D24E4" w:rsidRDefault="00EE35BB" w:rsidP="00EE35BB">
            <w:pPr>
              <w:rPr>
                <w:sz w:val="21"/>
                <w:szCs w:val="21"/>
              </w:rPr>
            </w:pPr>
            <w:r w:rsidRPr="007D24E4">
              <w:rPr>
                <w:sz w:val="21"/>
                <w:szCs w:val="21"/>
                <w:vertAlign w:val="superscript"/>
              </w:rPr>
              <w:lastRenderedPageBreak/>
              <w:t>2</w:t>
            </w:r>
            <w:r w:rsidRPr="007D24E4">
              <w:rPr>
                <w:sz w:val="21"/>
                <w:szCs w:val="21"/>
              </w:rPr>
              <w:t xml:space="preserve"> Le canton exerce lui-même le droit de vente ou octroie une concession à une organisation d’utilité publique. </w:t>
            </w:r>
          </w:p>
          <w:p w14:paraId="7BE3C722" w14:textId="77777777" w:rsidR="00C81712" w:rsidRPr="007D24E4" w:rsidRDefault="00C81712" w:rsidP="00C81712">
            <w:pPr>
              <w:rPr>
                <w:b/>
                <w:bCs/>
                <w:sz w:val="21"/>
                <w:szCs w:val="21"/>
              </w:rPr>
            </w:pPr>
          </w:p>
        </w:tc>
      </w:tr>
      <w:tr w:rsidR="00C81712" w:rsidRPr="00717151" w14:paraId="57E36FBD" w14:textId="77777777" w:rsidTr="0077201D">
        <w:trPr>
          <w:trHeight w:val="510"/>
        </w:trPr>
        <w:tc>
          <w:tcPr>
            <w:tcW w:w="729" w:type="dxa"/>
          </w:tcPr>
          <w:p w14:paraId="27EC47BF" w14:textId="7C7151FB" w:rsidR="00C81712" w:rsidRDefault="00306D26" w:rsidP="000303A8">
            <w:pPr>
              <w:rPr>
                <w:b/>
                <w:bCs/>
                <w:sz w:val="20"/>
                <w:szCs w:val="20"/>
              </w:rPr>
            </w:pPr>
            <w:r>
              <w:rPr>
                <w:b/>
                <w:bCs/>
                <w:sz w:val="20"/>
                <w:szCs w:val="20"/>
              </w:rPr>
              <w:lastRenderedPageBreak/>
              <w:t>40</w:t>
            </w:r>
          </w:p>
        </w:tc>
        <w:tc>
          <w:tcPr>
            <w:tcW w:w="708" w:type="dxa"/>
          </w:tcPr>
          <w:p w14:paraId="2E8936F7" w14:textId="1D6F9E19" w:rsidR="00C81712" w:rsidRPr="00A5371A" w:rsidRDefault="009233A9" w:rsidP="000303A8">
            <w:pPr>
              <w:rPr>
                <w:b/>
                <w:bCs/>
                <w:sz w:val="20"/>
                <w:szCs w:val="20"/>
              </w:rPr>
            </w:pPr>
            <w:r>
              <w:rPr>
                <w:b/>
                <w:bCs/>
                <w:sz w:val="20"/>
                <w:szCs w:val="20"/>
              </w:rPr>
              <w:t>1</w:t>
            </w:r>
          </w:p>
        </w:tc>
        <w:tc>
          <w:tcPr>
            <w:tcW w:w="708" w:type="dxa"/>
          </w:tcPr>
          <w:p w14:paraId="610E6DA2" w14:textId="5E10E871" w:rsidR="00C81712" w:rsidRPr="00A5371A" w:rsidRDefault="009233A9" w:rsidP="000303A8">
            <w:pPr>
              <w:rPr>
                <w:b/>
                <w:bCs/>
                <w:sz w:val="20"/>
                <w:szCs w:val="20"/>
              </w:rPr>
            </w:pPr>
            <w:proofErr w:type="gramStart"/>
            <w:r>
              <w:rPr>
                <w:b/>
                <w:bCs/>
                <w:sz w:val="20"/>
                <w:szCs w:val="20"/>
              </w:rPr>
              <w:t>a</w:t>
            </w:r>
            <w:proofErr w:type="gramEnd"/>
          </w:p>
        </w:tc>
        <w:tc>
          <w:tcPr>
            <w:tcW w:w="6650" w:type="dxa"/>
          </w:tcPr>
          <w:p w14:paraId="0190B9C5" w14:textId="02939933" w:rsidR="00C81712" w:rsidRPr="004D5964" w:rsidRDefault="00BE0494" w:rsidP="000303A8">
            <w:pPr>
              <w:rPr>
                <w:sz w:val="21"/>
                <w:szCs w:val="21"/>
              </w:rPr>
            </w:pPr>
            <w:r w:rsidRPr="00382F0A">
              <w:rPr>
                <w:sz w:val="21"/>
                <w:szCs w:val="21"/>
              </w:rPr>
              <w:t>Pour le</w:t>
            </w:r>
            <w:r>
              <w:rPr>
                <w:sz w:val="21"/>
                <w:szCs w:val="21"/>
              </w:rPr>
              <w:t xml:space="preserve">s mêmes raisons que celles exposées à l’art. 39, il convient de modifier l’art. 40 al 1 let. </w:t>
            </w:r>
            <w:proofErr w:type="gramStart"/>
            <w:r>
              <w:rPr>
                <w:sz w:val="21"/>
                <w:szCs w:val="21"/>
              </w:rPr>
              <w:t>a</w:t>
            </w:r>
            <w:proofErr w:type="gramEnd"/>
            <w:r>
              <w:rPr>
                <w:sz w:val="21"/>
                <w:szCs w:val="21"/>
              </w:rPr>
              <w:t xml:space="preserve"> afin de n’autoriser que les ONG à bénéficier d’une concession de vente. </w:t>
            </w:r>
          </w:p>
        </w:tc>
        <w:tc>
          <w:tcPr>
            <w:tcW w:w="5517" w:type="dxa"/>
          </w:tcPr>
          <w:p w14:paraId="747E9D5F" w14:textId="77777777" w:rsidR="0019661A" w:rsidRPr="007D24E4" w:rsidRDefault="0019661A" w:rsidP="0019661A">
            <w:pPr>
              <w:rPr>
                <w:sz w:val="21"/>
                <w:szCs w:val="21"/>
              </w:rPr>
            </w:pPr>
            <w:r w:rsidRPr="007D24E4">
              <w:rPr>
                <w:b/>
                <w:bCs/>
                <w:sz w:val="21"/>
                <w:szCs w:val="21"/>
              </w:rPr>
              <w:t>Art. 40</w:t>
            </w:r>
            <w:r w:rsidRPr="007D24E4">
              <w:rPr>
                <w:sz w:val="21"/>
                <w:szCs w:val="21"/>
              </w:rPr>
              <w:t xml:space="preserve"> Conditions d’octroi de la concession</w:t>
            </w:r>
          </w:p>
          <w:p w14:paraId="3868395A" w14:textId="77777777" w:rsidR="0019661A" w:rsidRPr="007D24E4" w:rsidRDefault="0019661A" w:rsidP="0019661A">
            <w:pPr>
              <w:rPr>
                <w:sz w:val="21"/>
                <w:szCs w:val="21"/>
              </w:rPr>
            </w:pPr>
            <w:r w:rsidRPr="007D24E4">
              <w:rPr>
                <w:sz w:val="21"/>
                <w:szCs w:val="21"/>
                <w:vertAlign w:val="superscript"/>
              </w:rPr>
              <w:t>1</w:t>
            </w:r>
            <w:r w:rsidRPr="007D24E4">
              <w:rPr>
                <w:sz w:val="21"/>
                <w:szCs w:val="21"/>
              </w:rPr>
              <w:t xml:space="preserve"> La concession peut être octroyée si le requérant :</w:t>
            </w:r>
          </w:p>
          <w:p w14:paraId="116D047F" w14:textId="647F45D7" w:rsidR="0019661A" w:rsidRPr="007D24E4" w:rsidRDefault="0019661A" w:rsidP="0019661A">
            <w:pPr>
              <w:pStyle w:val="Paragraphedeliste"/>
              <w:numPr>
                <w:ilvl w:val="0"/>
                <w:numId w:val="8"/>
              </w:numPr>
              <w:spacing w:after="120" w:line="280" w:lineRule="atLeast"/>
              <w:jc w:val="both"/>
              <w:rPr>
                <w:sz w:val="21"/>
                <w:szCs w:val="21"/>
              </w:rPr>
            </w:pPr>
            <w:proofErr w:type="gramStart"/>
            <w:r w:rsidRPr="007D24E4">
              <w:rPr>
                <w:sz w:val="21"/>
                <w:szCs w:val="21"/>
              </w:rPr>
              <w:t>est</w:t>
            </w:r>
            <w:proofErr w:type="gramEnd"/>
            <w:r w:rsidRPr="007D24E4">
              <w:rPr>
                <w:sz w:val="21"/>
                <w:szCs w:val="21"/>
              </w:rPr>
              <w:t xml:space="preserve"> une organisation d’utilité publique qui a son siège en Suisse</w:t>
            </w:r>
          </w:p>
          <w:p w14:paraId="28336CD8" w14:textId="77777777" w:rsidR="00C81712" w:rsidRPr="007D24E4" w:rsidRDefault="00C81712" w:rsidP="00C81712">
            <w:pPr>
              <w:rPr>
                <w:b/>
                <w:bCs/>
                <w:sz w:val="21"/>
                <w:szCs w:val="21"/>
              </w:rPr>
            </w:pPr>
          </w:p>
        </w:tc>
      </w:tr>
      <w:tr w:rsidR="00C81712" w:rsidRPr="00717151" w14:paraId="6911B418" w14:textId="77777777" w:rsidTr="0077201D">
        <w:trPr>
          <w:trHeight w:val="510"/>
        </w:trPr>
        <w:tc>
          <w:tcPr>
            <w:tcW w:w="729" w:type="dxa"/>
          </w:tcPr>
          <w:p w14:paraId="0944545E" w14:textId="6AB880F9" w:rsidR="00C81712" w:rsidRDefault="00CA3FF8" w:rsidP="000303A8">
            <w:pPr>
              <w:rPr>
                <w:b/>
                <w:bCs/>
                <w:sz w:val="20"/>
                <w:szCs w:val="20"/>
              </w:rPr>
            </w:pPr>
            <w:r>
              <w:rPr>
                <w:b/>
                <w:bCs/>
                <w:sz w:val="20"/>
                <w:szCs w:val="20"/>
              </w:rPr>
              <w:t>40</w:t>
            </w:r>
          </w:p>
        </w:tc>
        <w:tc>
          <w:tcPr>
            <w:tcW w:w="708" w:type="dxa"/>
          </w:tcPr>
          <w:p w14:paraId="1D653DBE" w14:textId="4338AE6B" w:rsidR="00C81712" w:rsidRPr="00A5371A" w:rsidRDefault="00CA3FF8" w:rsidP="000303A8">
            <w:pPr>
              <w:rPr>
                <w:b/>
                <w:bCs/>
                <w:sz w:val="20"/>
                <w:szCs w:val="20"/>
              </w:rPr>
            </w:pPr>
            <w:r>
              <w:rPr>
                <w:b/>
                <w:bCs/>
                <w:sz w:val="20"/>
                <w:szCs w:val="20"/>
              </w:rPr>
              <w:t>1</w:t>
            </w:r>
          </w:p>
        </w:tc>
        <w:tc>
          <w:tcPr>
            <w:tcW w:w="708" w:type="dxa"/>
          </w:tcPr>
          <w:p w14:paraId="4FFE6037" w14:textId="7088102A" w:rsidR="00C81712" w:rsidRPr="00A5371A" w:rsidRDefault="00CA3FF8" w:rsidP="000303A8">
            <w:pPr>
              <w:rPr>
                <w:b/>
                <w:bCs/>
                <w:sz w:val="20"/>
                <w:szCs w:val="20"/>
              </w:rPr>
            </w:pPr>
            <w:proofErr w:type="gramStart"/>
            <w:r>
              <w:rPr>
                <w:b/>
                <w:bCs/>
                <w:sz w:val="20"/>
                <w:szCs w:val="20"/>
              </w:rPr>
              <w:t>c</w:t>
            </w:r>
            <w:proofErr w:type="gramEnd"/>
          </w:p>
        </w:tc>
        <w:tc>
          <w:tcPr>
            <w:tcW w:w="6650" w:type="dxa"/>
          </w:tcPr>
          <w:p w14:paraId="37B41F19" w14:textId="77777777" w:rsidR="00363928" w:rsidRDefault="00363928" w:rsidP="00363928">
            <w:pPr>
              <w:rPr>
                <w:sz w:val="21"/>
                <w:szCs w:val="21"/>
              </w:rPr>
            </w:pPr>
            <w:r>
              <w:rPr>
                <w:sz w:val="21"/>
                <w:szCs w:val="21"/>
              </w:rPr>
              <w:t xml:space="preserve">La let. </w:t>
            </w:r>
            <w:proofErr w:type="gramStart"/>
            <w:r>
              <w:rPr>
                <w:sz w:val="21"/>
                <w:szCs w:val="21"/>
              </w:rPr>
              <w:t>c</w:t>
            </w:r>
            <w:proofErr w:type="gramEnd"/>
            <w:r>
              <w:rPr>
                <w:sz w:val="21"/>
                <w:szCs w:val="21"/>
              </w:rPr>
              <w:t xml:space="preserve"> de l’al 1 prévoit que les éventuels bénéfices doivent être </w:t>
            </w:r>
            <w:r w:rsidRPr="008D4E2E">
              <w:rPr>
                <w:sz w:val="21"/>
                <w:szCs w:val="21"/>
                <w:u w:val="single"/>
              </w:rPr>
              <w:t>affectés</w:t>
            </w:r>
            <w:r>
              <w:rPr>
                <w:sz w:val="21"/>
                <w:szCs w:val="21"/>
              </w:rPr>
              <w:t xml:space="preserve"> à la prévention, à la réduction des risques et à la lutte contre les addictions. Si l’idée d’affecter les bénéfices à des fins de prévention est excellente, il parait dommageable de laisser les titulaires de concessions utiliser eux-mêmes ces bénéfices et réaliser eux-mêmes ces activités de prévention :</w:t>
            </w:r>
          </w:p>
          <w:p w14:paraId="3FC8F663" w14:textId="24E7C1B0" w:rsidR="00363928" w:rsidRPr="001A22E0" w:rsidRDefault="00363928" w:rsidP="001A22E0">
            <w:pPr>
              <w:pStyle w:val="Paragraphedeliste"/>
              <w:numPr>
                <w:ilvl w:val="0"/>
                <w:numId w:val="9"/>
              </w:numPr>
              <w:spacing w:after="120" w:line="280" w:lineRule="atLeast"/>
              <w:jc w:val="both"/>
              <w:rPr>
                <w:sz w:val="21"/>
                <w:szCs w:val="21"/>
              </w:rPr>
            </w:pPr>
            <w:r w:rsidRPr="00FB4EA7">
              <w:rPr>
                <w:sz w:val="21"/>
                <w:szCs w:val="21"/>
              </w:rPr>
              <w:lastRenderedPageBreak/>
              <w:t xml:space="preserve">D’une part, </w:t>
            </w:r>
            <w:r w:rsidRPr="001A22E0">
              <w:rPr>
                <w:sz w:val="21"/>
                <w:szCs w:val="21"/>
              </w:rPr>
              <w:t xml:space="preserve">l’exemple des jeux de hasard et d’argent et la littérature scientifique montrent que lorsque le vendeur de produits et services addictifs est aussi l’émetteur du message de prévention, l’efficacité de ce dernier se trouve réduite voir pire, contreproductive. On appelle cela l’effet boomerang ; </w:t>
            </w:r>
          </w:p>
          <w:p w14:paraId="1BA11A65" w14:textId="4C6C88B2" w:rsidR="00363928" w:rsidRPr="00FB4EA7" w:rsidRDefault="00363928" w:rsidP="00363928">
            <w:pPr>
              <w:pStyle w:val="Paragraphedeliste"/>
              <w:numPr>
                <w:ilvl w:val="0"/>
                <w:numId w:val="9"/>
              </w:numPr>
              <w:spacing w:after="120" w:line="280" w:lineRule="atLeast"/>
              <w:jc w:val="both"/>
              <w:rPr>
                <w:sz w:val="21"/>
                <w:szCs w:val="21"/>
              </w:rPr>
            </w:pPr>
            <w:r w:rsidRPr="00FB4EA7">
              <w:rPr>
                <w:sz w:val="21"/>
                <w:szCs w:val="21"/>
              </w:rPr>
              <w:t xml:space="preserve">Enfin, si </w:t>
            </w:r>
            <w:r>
              <w:rPr>
                <w:sz w:val="21"/>
                <w:szCs w:val="21"/>
              </w:rPr>
              <w:t xml:space="preserve">l’art. 39 n’est pas modifié comme demandé et que </w:t>
            </w:r>
            <w:r w:rsidRPr="00FB4EA7">
              <w:rPr>
                <w:sz w:val="21"/>
                <w:szCs w:val="21"/>
              </w:rPr>
              <w:t xml:space="preserve">les concessions peuvent être octroyées à des </w:t>
            </w:r>
            <w:r>
              <w:rPr>
                <w:sz w:val="21"/>
                <w:szCs w:val="21"/>
              </w:rPr>
              <w:t xml:space="preserve">personnes morales avec activités lucratives (pharmacies et autres entreprises), </w:t>
            </w:r>
            <w:r w:rsidRPr="00A41138">
              <w:rPr>
                <w:sz w:val="21"/>
                <w:szCs w:val="21"/>
                <w:u w:val="single"/>
              </w:rPr>
              <w:t xml:space="preserve">celles-ci </w:t>
            </w:r>
            <w:r w:rsidR="001A22E0" w:rsidRPr="00A41138">
              <w:rPr>
                <w:sz w:val="21"/>
                <w:szCs w:val="21"/>
                <w:u w:val="single"/>
              </w:rPr>
              <w:t>n’auront</w:t>
            </w:r>
            <w:r w:rsidRPr="00A41138">
              <w:rPr>
                <w:sz w:val="21"/>
                <w:szCs w:val="21"/>
                <w:u w:val="single"/>
              </w:rPr>
              <w:t xml:space="preserve"> pas les compétences nécessaires en matière de prévention</w:t>
            </w:r>
            <w:r w:rsidR="004E675B">
              <w:rPr>
                <w:sz w:val="21"/>
                <w:szCs w:val="21"/>
                <w:u w:val="single"/>
              </w:rPr>
              <w:t>.</w:t>
            </w:r>
            <w:r>
              <w:rPr>
                <w:sz w:val="21"/>
                <w:szCs w:val="21"/>
              </w:rPr>
              <w:t xml:space="preserve"> </w:t>
            </w:r>
            <w:r w:rsidR="004E675B">
              <w:rPr>
                <w:sz w:val="21"/>
                <w:szCs w:val="21"/>
              </w:rPr>
              <w:t>I</w:t>
            </w:r>
            <w:r>
              <w:rPr>
                <w:sz w:val="21"/>
                <w:szCs w:val="21"/>
              </w:rPr>
              <w:t xml:space="preserve">l parait évident que cette tâche de santé publique doive </w:t>
            </w:r>
            <w:r w:rsidR="004E675B">
              <w:rPr>
                <w:sz w:val="21"/>
                <w:szCs w:val="21"/>
              </w:rPr>
              <w:t>être exercée par des spécialistes reconnus en matière de prévention et indépendants des points de vente</w:t>
            </w:r>
            <w:r>
              <w:rPr>
                <w:sz w:val="21"/>
                <w:szCs w:val="21"/>
              </w:rPr>
              <w:t>.</w:t>
            </w:r>
          </w:p>
          <w:p w14:paraId="6CBDEEAD" w14:textId="2DEBCB5F" w:rsidR="00C81712" w:rsidRPr="004D5964" w:rsidRDefault="00363928" w:rsidP="00363928">
            <w:pPr>
              <w:rPr>
                <w:sz w:val="21"/>
                <w:szCs w:val="21"/>
              </w:rPr>
            </w:pPr>
            <w:r>
              <w:rPr>
                <w:sz w:val="21"/>
                <w:szCs w:val="21"/>
              </w:rPr>
              <w:t xml:space="preserve">Pour ces raisons, </w:t>
            </w:r>
            <w:r w:rsidRPr="004E675B">
              <w:rPr>
                <w:sz w:val="21"/>
                <w:szCs w:val="21"/>
                <w:u w:val="single"/>
              </w:rPr>
              <w:t>il est nécessaire que les éventuels bénéfices soient directement reversés au canton</w:t>
            </w:r>
            <w:r>
              <w:rPr>
                <w:sz w:val="21"/>
                <w:szCs w:val="21"/>
              </w:rPr>
              <w:t xml:space="preserve"> qui a octroyé la concession </w:t>
            </w:r>
            <w:r w:rsidR="009C0F1A">
              <w:rPr>
                <w:sz w:val="21"/>
                <w:szCs w:val="21"/>
              </w:rPr>
              <w:t>et qui gère ensuite</w:t>
            </w:r>
            <w:r>
              <w:rPr>
                <w:sz w:val="21"/>
                <w:szCs w:val="21"/>
              </w:rPr>
              <w:t xml:space="preserve"> ces fonds pour la prévention, comme les cantons le font déjà avec la dîme alcool ou la taxe prévention sur les jeux de loterie</w:t>
            </w:r>
            <w:r w:rsidR="009C0F1A">
              <w:rPr>
                <w:sz w:val="21"/>
                <w:szCs w:val="21"/>
              </w:rPr>
              <w:t>.</w:t>
            </w:r>
          </w:p>
        </w:tc>
        <w:tc>
          <w:tcPr>
            <w:tcW w:w="5517" w:type="dxa"/>
          </w:tcPr>
          <w:p w14:paraId="6B5614B9" w14:textId="77777777" w:rsidR="00E21030" w:rsidRPr="007D24E4" w:rsidRDefault="00E21030" w:rsidP="00E21030">
            <w:pPr>
              <w:rPr>
                <w:sz w:val="21"/>
                <w:szCs w:val="21"/>
              </w:rPr>
            </w:pPr>
            <w:r w:rsidRPr="007D24E4">
              <w:rPr>
                <w:b/>
                <w:bCs/>
                <w:sz w:val="21"/>
                <w:szCs w:val="21"/>
              </w:rPr>
              <w:lastRenderedPageBreak/>
              <w:t>Art. 40</w:t>
            </w:r>
            <w:r w:rsidRPr="007D24E4">
              <w:rPr>
                <w:sz w:val="21"/>
                <w:szCs w:val="21"/>
              </w:rPr>
              <w:t xml:space="preserve"> Conditions d’octroi de la concession</w:t>
            </w:r>
          </w:p>
          <w:p w14:paraId="1FC1F07A" w14:textId="61612D64" w:rsidR="00EE1E2B" w:rsidRPr="007D24E4" w:rsidRDefault="00E21030" w:rsidP="00A3523B">
            <w:pPr>
              <w:pStyle w:val="Paragraphedeliste"/>
              <w:numPr>
                <w:ilvl w:val="0"/>
                <w:numId w:val="11"/>
              </w:numPr>
              <w:ind w:left="169" w:hanging="141"/>
              <w:rPr>
                <w:sz w:val="21"/>
                <w:szCs w:val="21"/>
              </w:rPr>
            </w:pPr>
            <w:r w:rsidRPr="007D24E4">
              <w:rPr>
                <w:sz w:val="21"/>
                <w:szCs w:val="21"/>
              </w:rPr>
              <w:t>La concession peut être octroyée si le requérant :</w:t>
            </w:r>
          </w:p>
          <w:p w14:paraId="1A5B1470" w14:textId="3858D8C7" w:rsidR="0009471D" w:rsidRPr="007D24E4" w:rsidRDefault="00EE1E2B" w:rsidP="00A3523B">
            <w:pPr>
              <w:spacing w:after="120" w:line="280" w:lineRule="atLeast"/>
              <w:ind w:left="595" w:hanging="284"/>
              <w:jc w:val="both"/>
              <w:rPr>
                <w:sz w:val="21"/>
                <w:szCs w:val="21"/>
              </w:rPr>
            </w:pPr>
            <w:r w:rsidRPr="007D24E4">
              <w:rPr>
                <w:sz w:val="21"/>
                <w:szCs w:val="21"/>
              </w:rPr>
              <w:t xml:space="preserve">c. </w:t>
            </w:r>
            <w:r w:rsidR="0009471D" w:rsidRPr="007D24E4">
              <w:rPr>
                <w:sz w:val="21"/>
                <w:szCs w:val="21"/>
              </w:rPr>
              <w:t xml:space="preserve">Reverse intégralement les éventuels bénéfices de la vente de produits cannabiques, dans la mesure où ils dépassent la rémunération adéquate de la part de capital propre, au canton qui a octroyé la concession et qui les affecte à la prévention, à la </w:t>
            </w:r>
            <w:r w:rsidR="0009471D" w:rsidRPr="007D24E4">
              <w:rPr>
                <w:sz w:val="21"/>
                <w:szCs w:val="21"/>
              </w:rPr>
              <w:lastRenderedPageBreak/>
              <w:t xml:space="preserve">réduction des risques et </w:t>
            </w:r>
            <w:r w:rsidR="002F11C8" w:rsidRPr="007D24E4">
              <w:rPr>
                <w:sz w:val="21"/>
                <w:szCs w:val="21"/>
              </w:rPr>
              <w:t>à l’aide en cas</w:t>
            </w:r>
            <w:r w:rsidR="0009471D" w:rsidRPr="007D24E4">
              <w:rPr>
                <w:sz w:val="21"/>
                <w:szCs w:val="21"/>
              </w:rPr>
              <w:t xml:space="preserve"> </w:t>
            </w:r>
            <w:r w:rsidR="002F11C8" w:rsidRPr="007D24E4">
              <w:rPr>
                <w:sz w:val="21"/>
                <w:szCs w:val="21"/>
              </w:rPr>
              <w:t>d’</w:t>
            </w:r>
            <w:r w:rsidR="0009471D" w:rsidRPr="007D24E4">
              <w:rPr>
                <w:sz w:val="21"/>
                <w:szCs w:val="21"/>
              </w:rPr>
              <w:t>addictions en conformité avec les stratégies cantonales et nationales en matière de santé ;</w:t>
            </w:r>
          </w:p>
          <w:p w14:paraId="4D7A54BD" w14:textId="77777777" w:rsidR="0009471D" w:rsidRPr="007D24E4" w:rsidRDefault="0009471D" w:rsidP="00C81712">
            <w:pPr>
              <w:rPr>
                <w:b/>
                <w:bCs/>
                <w:sz w:val="21"/>
                <w:szCs w:val="21"/>
              </w:rPr>
            </w:pPr>
          </w:p>
        </w:tc>
      </w:tr>
      <w:tr w:rsidR="00C81712" w:rsidRPr="00717151" w14:paraId="02355E12" w14:textId="77777777" w:rsidTr="0077201D">
        <w:trPr>
          <w:trHeight w:val="510"/>
        </w:trPr>
        <w:tc>
          <w:tcPr>
            <w:tcW w:w="729" w:type="dxa"/>
          </w:tcPr>
          <w:p w14:paraId="2532F66A" w14:textId="77777777" w:rsidR="00C81712" w:rsidRDefault="00C81712" w:rsidP="000303A8">
            <w:pPr>
              <w:rPr>
                <w:b/>
                <w:bCs/>
                <w:sz w:val="20"/>
                <w:szCs w:val="20"/>
              </w:rPr>
            </w:pPr>
          </w:p>
        </w:tc>
        <w:tc>
          <w:tcPr>
            <w:tcW w:w="708" w:type="dxa"/>
          </w:tcPr>
          <w:p w14:paraId="2F2401EC" w14:textId="77777777" w:rsidR="00C81712" w:rsidRPr="00A5371A" w:rsidRDefault="00C81712" w:rsidP="000303A8">
            <w:pPr>
              <w:rPr>
                <w:b/>
                <w:bCs/>
                <w:sz w:val="20"/>
                <w:szCs w:val="20"/>
              </w:rPr>
            </w:pPr>
          </w:p>
        </w:tc>
        <w:tc>
          <w:tcPr>
            <w:tcW w:w="708" w:type="dxa"/>
          </w:tcPr>
          <w:p w14:paraId="136A842B" w14:textId="77777777" w:rsidR="00C81712" w:rsidRPr="00A5371A" w:rsidRDefault="00C81712" w:rsidP="000303A8">
            <w:pPr>
              <w:rPr>
                <w:b/>
                <w:bCs/>
                <w:sz w:val="20"/>
                <w:szCs w:val="20"/>
              </w:rPr>
            </w:pPr>
          </w:p>
        </w:tc>
        <w:tc>
          <w:tcPr>
            <w:tcW w:w="6650" w:type="dxa"/>
          </w:tcPr>
          <w:p w14:paraId="5FA18C1E" w14:textId="77777777" w:rsidR="00C81712" w:rsidRDefault="002D59F0" w:rsidP="00606435">
            <w:pPr>
              <w:rPr>
                <w:b/>
                <w:bCs/>
                <w:sz w:val="21"/>
                <w:szCs w:val="21"/>
              </w:rPr>
            </w:pPr>
            <w:r>
              <w:rPr>
                <w:b/>
                <w:bCs/>
                <w:sz w:val="21"/>
                <w:szCs w:val="21"/>
              </w:rPr>
              <w:t>Section 4 – Vente en ligne</w:t>
            </w:r>
          </w:p>
          <w:p w14:paraId="53894FB6" w14:textId="77777777" w:rsidR="00C23A59" w:rsidRDefault="00C23A59" w:rsidP="00606435">
            <w:pPr>
              <w:rPr>
                <w:sz w:val="21"/>
                <w:szCs w:val="21"/>
              </w:rPr>
            </w:pPr>
            <w:r>
              <w:rPr>
                <w:sz w:val="21"/>
                <w:szCs w:val="21"/>
              </w:rPr>
              <w:t>Une minorité de la commission propose de biffer tous les articles concernant la vente en ligne et donc d’y renoncer. Le GREA demande le maintien de la vente en ligne pour les raisons suivantes :</w:t>
            </w:r>
          </w:p>
          <w:p w14:paraId="55C3D9C6" w14:textId="77777777" w:rsidR="00C23A59" w:rsidRPr="000A7A4A" w:rsidRDefault="00C23A59" w:rsidP="00606435">
            <w:pPr>
              <w:pStyle w:val="Paragraphedeliste"/>
              <w:numPr>
                <w:ilvl w:val="0"/>
                <w:numId w:val="12"/>
              </w:numPr>
              <w:spacing w:after="120" w:line="280" w:lineRule="atLeast"/>
              <w:rPr>
                <w:sz w:val="21"/>
                <w:szCs w:val="21"/>
              </w:rPr>
            </w:pPr>
            <w:r w:rsidRPr="000A7A4A">
              <w:rPr>
                <w:sz w:val="21"/>
                <w:szCs w:val="21"/>
              </w:rPr>
              <w:t xml:space="preserve">La vente en ligne de cannabis est pensée dans la </w:t>
            </w:r>
            <w:proofErr w:type="spellStart"/>
            <w:r w:rsidRPr="000A7A4A">
              <w:rPr>
                <w:sz w:val="21"/>
                <w:szCs w:val="21"/>
              </w:rPr>
              <w:t>LPCan</w:t>
            </w:r>
            <w:proofErr w:type="spellEnd"/>
            <w:r w:rsidRPr="000A7A4A">
              <w:rPr>
                <w:sz w:val="21"/>
                <w:szCs w:val="21"/>
              </w:rPr>
              <w:t xml:space="preserve"> comme une offre subsidiaire qui viendrait compléter la vente terrestre de cannabis dans les cantons. C’est une mesure importante contre le marché illégal et pour l’égalité de traitement. </w:t>
            </w:r>
          </w:p>
          <w:p w14:paraId="558666E8" w14:textId="77777777" w:rsidR="00C23A59" w:rsidRPr="000A7A4A" w:rsidRDefault="00C23A59" w:rsidP="00606435">
            <w:pPr>
              <w:pStyle w:val="Paragraphedeliste"/>
              <w:numPr>
                <w:ilvl w:val="0"/>
                <w:numId w:val="12"/>
              </w:numPr>
              <w:spacing w:after="120" w:line="280" w:lineRule="atLeast"/>
              <w:rPr>
                <w:sz w:val="21"/>
                <w:szCs w:val="21"/>
              </w:rPr>
            </w:pPr>
            <w:r w:rsidRPr="000A7A4A">
              <w:rPr>
                <w:sz w:val="21"/>
                <w:szCs w:val="21"/>
              </w:rPr>
              <w:t>Les cantons auront en effet la possibilité d’ouvrir des points de vente, mais pas l’obligation.</w:t>
            </w:r>
            <w:r w:rsidRPr="000A7A4A">
              <w:rPr>
                <w:b/>
                <w:bCs/>
                <w:sz w:val="21"/>
                <w:szCs w:val="21"/>
              </w:rPr>
              <w:t xml:space="preserve"> </w:t>
            </w:r>
            <w:r w:rsidRPr="000A7A4A">
              <w:rPr>
                <w:sz w:val="21"/>
                <w:szCs w:val="21"/>
              </w:rPr>
              <w:t xml:space="preserve">De plus, la loi demande aux cantons de limiter le nombre de points de vente sur leur </w:t>
            </w:r>
            <w:r w:rsidRPr="001D52BD">
              <w:rPr>
                <w:sz w:val="21"/>
                <w:szCs w:val="21"/>
              </w:rPr>
              <w:t>territoire (</w:t>
            </w:r>
            <w:r w:rsidRPr="000A7A4A">
              <w:rPr>
                <w:sz w:val="21"/>
                <w:szCs w:val="21"/>
              </w:rPr>
              <w:t xml:space="preserve">art. </w:t>
            </w:r>
            <w:r w:rsidRPr="001D52BD">
              <w:rPr>
                <w:sz w:val="21"/>
                <w:szCs w:val="21"/>
              </w:rPr>
              <w:t>39</w:t>
            </w:r>
            <w:r w:rsidRPr="000A7A4A">
              <w:rPr>
                <w:sz w:val="21"/>
                <w:szCs w:val="21"/>
              </w:rPr>
              <w:t xml:space="preserve"> al 3</w:t>
            </w:r>
            <w:r w:rsidRPr="001D52BD">
              <w:rPr>
                <w:sz w:val="21"/>
                <w:szCs w:val="21"/>
              </w:rPr>
              <w:t>).</w:t>
            </w:r>
            <w:r w:rsidRPr="000A7A4A">
              <w:rPr>
                <w:sz w:val="21"/>
                <w:szCs w:val="21"/>
              </w:rPr>
              <w:t xml:space="preserve"> Ces mesures sont justifiées en termes </w:t>
            </w:r>
            <w:r w:rsidRPr="000A7A4A">
              <w:rPr>
                <w:sz w:val="21"/>
                <w:szCs w:val="21"/>
              </w:rPr>
              <w:lastRenderedPageBreak/>
              <w:t>de santé publique</w:t>
            </w:r>
            <w:r>
              <w:rPr>
                <w:sz w:val="21"/>
                <w:szCs w:val="21"/>
              </w:rPr>
              <w:t xml:space="preserve"> </w:t>
            </w:r>
            <w:r w:rsidRPr="000A7A4A">
              <w:rPr>
                <w:sz w:val="21"/>
                <w:szCs w:val="21"/>
              </w:rPr>
              <w:t xml:space="preserve">mais impliquent un accès inégal au cannabis légal sur le territoire suisse. La vente en ligne de cannabis permet d’assurer que chaque individu ayant le droit de consommer puisse acheter son produit sur le marché légal. Sans points de vente dans une proximité raisonnable, la tentation d’acheter sur le marché illégal subsistera. </w:t>
            </w:r>
          </w:p>
          <w:p w14:paraId="0138EB9A" w14:textId="77777777" w:rsidR="00701C21" w:rsidRDefault="00C23A59" w:rsidP="00606435">
            <w:pPr>
              <w:pStyle w:val="Paragraphedeliste"/>
              <w:numPr>
                <w:ilvl w:val="0"/>
                <w:numId w:val="12"/>
              </w:numPr>
              <w:spacing w:after="120" w:line="280" w:lineRule="atLeast"/>
              <w:rPr>
                <w:sz w:val="21"/>
                <w:szCs w:val="21"/>
              </w:rPr>
            </w:pPr>
            <w:r>
              <w:rPr>
                <w:sz w:val="21"/>
                <w:szCs w:val="21"/>
              </w:rPr>
              <w:t>La</w:t>
            </w:r>
            <w:r w:rsidRPr="000A7A4A">
              <w:rPr>
                <w:sz w:val="21"/>
                <w:szCs w:val="21"/>
              </w:rPr>
              <w:t xml:space="preserve"> vente en ligne correspond aux habitudes de consommation actuelles et permettra de convaincre un plus grand nombre de consommatrices et de consommateurs d’acheter sur le marché légal (particulièrement les jeunes adultes).</w:t>
            </w:r>
          </w:p>
          <w:p w14:paraId="785D1965" w14:textId="37813871" w:rsidR="00C23A59" w:rsidRPr="00701C21" w:rsidRDefault="00C23A59" w:rsidP="00606435">
            <w:pPr>
              <w:pStyle w:val="Paragraphedeliste"/>
              <w:numPr>
                <w:ilvl w:val="0"/>
                <w:numId w:val="12"/>
              </w:numPr>
              <w:spacing w:after="120" w:line="280" w:lineRule="atLeast"/>
              <w:rPr>
                <w:sz w:val="21"/>
                <w:szCs w:val="21"/>
              </w:rPr>
            </w:pPr>
            <w:r w:rsidRPr="00701C21">
              <w:rPr>
                <w:sz w:val="21"/>
                <w:szCs w:val="21"/>
              </w:rPr>
              <w:t>Les exigences listées à l’art. 49 sont suffisantes pour la protection des mineurs et la protection des données.</w:t>
            </w:r>
            <w:r w:rsidR="0080721A">
              <w:rPr>
                <w:sz w:val="21"/>
                <w:szCs w:val="21"/>
              </w:rPr>
              <w:t xml:space="preserve"> Quelques adaptions </w:t>
            </w:r>
            <w:proofErr w:type="spellStart"/>
            <w:r w:rsidR="0080721A">
              <w:rPr>
                <w:sz w:val="21"/>
                <w:szCs w:val="21"/>
              </w:rPr>
              <w:t>suplémentaires</w:t>
            </w:r>
            <w:proofErr w:type="spellEnd"/>
            <w:r w:rsidR="0080721A">
              <w:rPr>
                <w:sz w:val="21"/>
                <w:szCs w:val="21"/>
              </w:rPr>
              <w:t xml:space="preserve"> – proposées aux articles suivants – permettront encore d’améliorer la protection de la jeunesse.</w:t>
            </w:r>
          </w:p>
        </w:tc>
        <w:tc>
          <w:tcPr>
            <w:tcW w:w="5517" w:type="dxa"/>
          </w:tcPr>
          <w:p w14:paraId="26A4253D" w14:textId="03A57075" w:rsidR="00C81712" w:rsidRPr="007D24E4" w:rsidRDefault="0041631A" w:rsidP="00C81712">
            <w:pPr>
              <w:rPr>
                <w:b/>
                <w:bCs/>
                <w:sz w:val="21"/>
                <w:szCs w:val="21"/>
              </w:rPr>
            </w:pPr>
            <w:r w:rsidRPr="007D24E4">
              <w:rPr>
                <w:b/>
                <w:bCs/>
                <w:sz w:val="21"/>
                <w:szCs w:val="21"/>
              </w:rPr>
              <w:lastRenderedPageBreak/>
              <w:t>Soutien à la proposition de majorité</w:t>
            </w:r>
          </w:p>
        </w:tc>
      </w:tr>
      <w:tr w:rsidR="00053AAD" w:rsidRPr="00717151" w14:paraId="561EBD16" w14:textId="77777777" w:rsidTr="0077201D">
        <w:trPr>
          <w:trHeight w:val="510"/>
        </w:trPr>
        <w:tc>
          <w:tcPr>
            <w:tcW w:w="729" w:type="dxa"/>
          </w:tcPr>
          <w:p w14:paraId="728C8279" w14:textId="5A140761" w:rsidR="00053AAD" w:rsidRDefault="00E46AC6" w:rsidP="00EE1105">
            <w:pPr>
              <w:rPr>
                <w:b/>
                <w:bCs/>
                <w:sz w:val="20"/>
                <w:szCs w:val="20"/>
              </w:rPr>
            </w:pPr>
            <w:r>
              <w:rPr>
                <w:b/>
                <w:bCs/>
                <w:sz w:val="20"/>
                <w:szCs w:val="20"/>
              </w:rPr>
              <w:t>42</w:t>
            </w:r>
          </w:p>
        </w:tc>
        <w:tc>
          <w:tcPr>
            <w:tcW w:w="708" w:type="dxa"/>
          </w:tcPr>
          <w:p w14:paraId="13765FC2" w14:textId="4D6BF785" w:rsidR="00053AAD" w:rsidRDefault="00E46AC6" w:rsidP="00EE1105">
            <w:pPr>
              <w:rPr>
                <w:b/>
                <w:bCs/>
                <w:sz w:val="20"/>
                <w:szCs w:val="20"/>
              </w:rPr>
            </w:pPr>
            <w:r>
              <w:rPr>
                <w:b/>
                <w:bCs/>
                <w:sz w:val="20"/>
                <w:szCs w:val="20"/>
              </w:rPr>
              <w:t>1</w:t>
            </w:r>
          </w:p>
        </w:tc>
        <w:tc>
          <w:tcPr>
            <w:tcW w:w="708" w:type="dxa"/>
          </w:tcPr>
          <w:p w14:paraId="3F445C6F" w14:textId="420376A5" w:rsidR="00053AAD" w:rsidRDefault="00E46AC6" w:rsidP="00EE1105">
            <w:pPr>
              <w:rPr>
                <w:b/>
                <w:bCs/>
                <w:sz w:val="20"/>
                <w:szCs w:val="20"/>
              </w:rPr>
            </w:pPr>
            <w:proofErr w:type="gramStart"/>
            <w:r>
              <w:rPr>
                <w:b/>
                <w:bCs/>
                <w:sz w:val="20"/>
                <w:szCs w:val="20"/>
              </w:rPr>
              <w:t>j</w:t>
            </w:r>
            <w:proofErr w:type="gramEnd"/>
          </w:p>
        </w:tc>
        <w:tc>
          <w:tcPr>
            <w:tcW w:w="6650" w:type="dxa"/>
          </w:tcPr>
          <w:p w14:paraId="1827CC6F" w14:textId="0B975841" w:rsidR="00E46AC6" w:rsidRPr="007543A5" w:rsidRDefault="00E46AC6" w:rsidP="00E46AC6">
            <w:pPr>
              <w:rPr>
                <w:sz w:val="21"/>
                <w:szCs w:val="21"/>
              </w:rPr>
            </w:pPr>
            <w:r w:rsidRPr="007543A5">
              <w:rPr>
                <w:sz w:val="21"/>
                <w:szCs w:val="21"/>
              </w:rPr>
              <w:t xml:space="preserve">Le GREA estime que la définition des personnes titulaires d’un titre de séjour, telle qu’elle figure dans le message explicatif, appelle une clarification. En effet, le message inclut parmi les « personnes titulaires d’un titre de séjour » des catégories telles que les personnes admises provisoirement (permis F), les requérants d’asile (permis N) ou les personnes bénéficiant de la protection provisoire (permis S). Or, ces statuts ne correspondent pas, au sens strict du droit des étrangers, à des permis de séjour. Il existe dès lors une confusion terminologique entre, d’une part, les titres de séjour au sens strict (permis B, C, ou L) et, d’autre part, des statuts relevant du domaine de l’asile ou de la protection provisoire. </w:t>
            </w:r>
          </w:p>
          <w:p w14:paraId="5E93C5CC" w14:textId="77777777" w:rsidR="00E46AC6" w:rsidRPr="007543A5" w:rsidRDefault="00E46AC6" w:rsidP="00E46AC6">
            <w:pPr>
              <w:rPr>
                <w:sz w:val="21"/>
                <w:szCs w:val="21"/>
              </w:rPr>
            </w:pPr>
          </w:p>
          <w:p w14:paraId="4668CD3C" w14:textId="77777777" w:rsidR="00E46AC6" w:rsidRPr="007543A5" w:rsidRDefault="00E46AC6" w:rsidP="00E46AC6">
            <w:pPr>
              <w:rPr>
                <w:sz w:val="21"/>
                <w:szCs w:val="21"/>
              </w:rPr>
            </w:pPr>
          </w:p>
          <w:p w14:paraId="49DA728D" w14:textId="77777777" w:rsidR="00E46AC6" w:rsidRPr="007543A5" w:rsidRDefault="00E46AC6" w:rsidP="00E46AC6">
            <w:pPr>
              <w:rPr>
                <w:sz w:val="21"/>
                <w:szCs w:val="21"/>
              </w:rPr>
            </w:pPr>
            <w:r w:rsidRPr="007543A5">
              <w:rPr>
                <w:sz w:val="21"/>
                <w:szCs w:val="21"/>
              </w:rPr>
              <w:lastRenderedPageBreak/>
              <w:t>Ainsi, le GREA estime qu’une clarification de ces catégories est nécessaire pour garantir la cohérence de la réglementation et assurer une application uniforme de la loi.</w:t>
            </w:r>
          </w:p>
          <w:p w14:paraId="4BE24067" w14:textId="77777777" w:rsidR="00E46AC6" w:rsidRPr="007543A5" w:rsidRDefault="00E46AC6" w:rsidP="00E46AC6">
            <w:pPr>
              <w:rPr>
                <w:sz w:val="21"/>
                <w:szCs w:val="21"/>
              </w:rPr>
            </w:pPr>
          </w:p>
          <w:p w14:paraId="04D83D7F" w14:textId="77777777" w:rsidR="00E46AC6" w:rsidRPr="007543A5" w:rsidRDefault="00E46AC6" w:rsidP="00E46AC6">
            <w:pPr>
              <w:rPr>
                <w:sz w:val="21"/>
                <w:szCs w:val="21"/>
              </w:rPr>
            </w:pPr>
            <w:r w:rsidRPr="007543A5">
              <w:rPr>
                <w:sz w:val="21"/>
                <w:szCs w:val="21"/>
              </w:rPr>
              <w:t xml:space="preserve">Le GREA considère par ailleurs que l’exclusion du marché régulé du cannabis des titulaires d’une autorisation de séjour de courte durée (permis L) n’apparaît pas justifiée. Ces personnes séjournent légalement en Suisse, pour une durée pouvant aller jusqu’à une année. Leur exclusion risque d’alimenter le marché noir, ce qui va en contradiction avec les objectifs poursuivis par la régulation, à </w:t>
            </w:r>
            <w:proofErr w:type="gramStart"/>
            <w:r w:rsidRPr="007543A5">
              <w:rPr>
                <w:sz w:val="21"/>
                <w:szCs w:val="21"/>
              </w:rPr>
              <w:t>savoir,  de</w:t>
            </w:r>
            <w:proofErr w:type="gramEnd"/>
            <w:r w:rsidRPr="007543A5">
              <w:rPr>
                <w:sz w:val="21"/>
                <w:szCs w:val="21"/>
              </w:rPr>
              <w:t xml:space="preserve"> prévenir et réduire la consommation problématique de cannabis, le contrôle de la qualité des produits, la protection de la santé publique et la réduction du marché illégal.</w:t>
            </w:r>
          </w:p>
          <w:p w14:paraId="2343956E" w14:textId="77777777" w:rsidR="00E46AC6" w:rsidRPr="007543A5" w:rsidRDefault="00E46AC6" w:rsidP="00E46AC6">
            <w:pPr>
              <w:rPr>
                <w:sz w:val="21"/>
                <w:szCs w:val="21"/>
              </w:rPr>
            </w:pPr>
          </w:p>
          <w:p w14:paraId="3C9AE8B0" w14:textId="72C86976" w:rsidR="00053AAD" w:rsidRPr="00E46AC6" w:rsidRDefault="00E46AC6" w:rsidP="00EE1105">
            <w:pPr>
              <w:rPr>
                <w:sz w:val="21"/>
                <w:szCs w:val="21"/>
                <w:highlight w:val="yellow"/>
              </w:rPr>
            </w:pPr>
            <w:r w:rsidRPr="007543A5">
              <w:rPr>
                <w:sz w:val="21"/>
                <w:szCs w:val="21"/>
              </w:rPr>
              <w:t>Le GREA estime dès lors pertinent d’autoriser également les titulaires d’un permis L à accéder au marché régulé, au même titre que les autres personnes majeures résidant légalement en Suisse.</w:t>
            </w:r>
          </w:p>
        </w:tc>
        <w:tc>
          <w:tcPr>
            <w:tcW w:w="5517" w:type="dxa"/>
          </w:tcPr>
          <w:p w14:paraId="1DDD8407" w14:textId="77777777" w:rsidR="00053AAD" w:rsidRPr="007D24E4" w:rsidRDefault="00053AAD" w:rsidP="00EE1105">
            <w:pPr>
              <w:rPr>
                <w:b/>
                <w:sz w:val="21"/>
                <w:szCs w:val="21"/>
              </w:rPr>
            </w:pPr>
          </w:p>
        </w:tc>
      </w:tr>
      <w:tr w:rsidR="00C81712" w:rsidRPr="00717151" w14:paraId="2CFEACE0" w14:textId="77777777" w:rsidTr="0077201D">
        <w:trPr>
          <w:trHeight w:val="510"/>
        </w:trPr>
        <w:tc>
          <w:tcPr>
            <w:tcW w:w="729" w:type="dxa"/>
          </w:tcPr>
          <w:p w14:paraId="32B3D47B" w14:textId="737020FD" w:rsidR="00C81712" w:rsidRDefault="00606435" w:rsidP="000303A8">
            <w:pPr>
              <w:rPr>
                <w:b/>
                <w:bCs/>
                <w:sz w:val="20"/>
                <w:szCs w:val="20"/>
              </w:rPr>
            </w:pPr>
            <w:r>
              <w:rPr>
                <w:b/>
                <w:bCs/>
                <w:sz w:val="20"/>
                <w:szCs w:val="20"/>
              </w:rPr>
              <w:t>49</w:t>
            </w:r>
          </w:p>
        </w:tc>
        <w:tc>
          <w:tcPr>
            <w:tcW w:w="708" w:type="dxa"/>
          </w:tcPr>
          <w:p w14:paraId="37EB3658" w14:textId="2FAE7E6D" w:rsidR="00C81712" w:rsidRPr="00A5371A" w:rsidRDefault="00606435" w:rsidP="000303A8">
            <w:pPr>
              <w:rPr>
                <w:b/>
                <w:bCs/>
                <w:sz w:val="20"/>
                <w:szCs w:val="20"/>
              </w:rPr>
            </w:pPr>
            <w:r>
              <w:rPr>
                <w:b/>
                <w:bCs/>
                <w:sz w:val="20"/>
                <w:szCs w:val="20"/>
              </w:rPr>
              <w:t>1</w:t>
            </w:r>
          </w:p>
        </w:tc>
        <w:tc>
          <w:tcPr>
            <w:tcW w:w="708" w:type="dxa"/>
          </w:tcPr>
          <w:p w14:paraId="5590A8A2" w14:textId="5434E075" w:rsidR="00C81712" w:rsidRPr="00A5371A" w:rsidRDefault="00606435" w:rsidP="000303A8">
            <w:pPr>
              <w:rPr>
                <w:b/>
                <w:bCs/>
                <w:sz w:val="20"/>
                <w:szCs w:val="20"/>
              </w:rPr>
            </w:pPr>
            <w:proofErr w:type="gramStart"/>
            <w:r>
              <w:rPr>
                <w:b/>
                <w:bCs/>
                <w:sz w:val="20"/>
                <w:szCs w:val="20"/>
              </w:rPr>
              <w:t>c</w:t>
            </w:r>
            <w:proofErr w:type="gramEnd"/>
          </w:p>
        </w:tc>
        <w:tc>
          <w:tcPr>
            <w:tcW w:w="6650" w:type="dxa"/>
          </w:tcPr>
          <w:p w14:paraId="7167E8B4" w14:textId="1CFAEC79" w:rsidR="0044786F" w:rsidRDefault="0044786F" w:rsidP="0044786F">
            <w:pPr>
              <w:rPr>
                <w:sz w:val="21"/>
                <w:szCs w:val="21"/>
              </w:rPr>
            </w:pPr>
            <w:r>
              <w:rPr>
                <w:sz w:val="21"/>
                <w:szCs w:val="21"/>
              </w:rPr>
              <w:t xml:space="preserve">Les conditions d’octroi de la concession de vente en ligne sont similaires à celles pour les points de vente terrestre. Pour les mêmes raisons que celles exposées à l’art. 40 let. </w:t>
            </w:r>
            <w:proofErr w:type="gramStart"/>
            <w:r>
              <w:rPr>
                <w:sz w:val="21"/>
                <w:szCs w:val="21"/>
              </w:rPr>
              <w:t>c</w:t>
            </w:r>
            <w:proofErr w:type="gramEnd"/>
            <w:r>
              <w:rPr>
                <w:sz w:val="21"/>
                <w:szCs w:val="21"/>
              </w:rPr>
              <w:t xml:space="preserve"> (effet boomerang, compétences en matière de prévention), nous demandons également que les éventuels bénéfices soient reversés à la Confédération qui les utilise pour mettre en œuvre sa Stratégie nationale Addictions, plutôt que ce soit le concessionnaire lui-même qui utilise ces fonds. </w:t>
            </w:r>
          </w:p>
          <w:p w14:paraId="29A22073" w14:textId="223EE8A9" w:rsidR="00C81712" w:rsidRPr="004D5964" w:rsidRDefault="00C91353" w:rsidP="0044786F">
            <w:pPr>
              <w:rPr>
                <w:sz w:val="21"/>
                <w:szCs w:val="21"/>
              </w:rPr>
            </w:pPr>
            <w:r>
              <w:rPr>
                <w:sz w:val="21"/>
                <w:szCs w:val="21"/>
              </w:rPr>
              <w:t xml:space="preserve"> (</w:t>
            </w:r>
            <w:proofErr w:type="gramStart"/>
            <w:r>
              <w:rPr>
                <w:sz w:val="21"/>
                <w:szCs w:val="21"/>
              </w:rPr>
              <w:t>a</w:t>
            </w:r>
            <w:proofErr w:type="gramEnd"/>
          </w:p>
        </w:tc>
        <w:tc>
          <w:tcPr>
            <w:tcW w:w="5517" w:type="dxa"/>
          </w:tcPr>
          <w:p w14:paraId="54C79F8D" w14:textId="77777777" w:rsidR="00B26476" w:rsidRPr="007D24E4" w:rsidRDefault="00B26476" w:rsidP="00B26476">
            <w:pPr>
              <w:rPr>
                <w:sz w:val="21"/>
                <w:szCs w:val="21"/>
              </w:rPr>
            </w:pPr>
            <w:r w:rsidRPr="007D24E4">
              <w:rPr>
                <w:b/>
                <w:sz w:val="21"/>
                <w:szCs w:val="21"/>
              </w:rPr>
              <w:t>Art. 49</w:t>
            </w:r>
            <w:r w:rsidRPr="007D24E4">
              <w:rPr>
                <w:sz w:val="21"/>
                <w:szCs w:val="21"/>
              </w:rPr>
              <w:t xml:space="preserve"> Conditions d’octroi de la concession</w:t>
            </w:r>
          </w:p>
          <w:p w14:paraId="0940D73E" w14:textId="77777777" w:rsidR="00B26476" w:rsidRPr="007D24E4" w:rsidRDefault="00B26476" w:rsidP="00B26476">
            <w:pPr>
              <w:rPr>
                <w:sz w:val="21"/>
                <w:szCs w:val="21"/>
              </w:rPr>
            </w:pPr>
            <w:r w:rsidRPr="007D24E4">
              <w:rPr>
                <w:sz w:val="21"/>
                <w:szCs w:val="21"/>
                <w:vertAlign w:val="superscript"/>
              </w:rPr>
              <w:t>1</w:t>
            </w:r>
            <w:r w:rsidRPr="007D24E4">
              <w:rPr>
                <w:sz w:val="21"/>
                <w:szCs w:val="21"/>
              </w:rPr>
              <w:t xml:space="preserve"> La concession peut être octroyée si le requérant :</w:t>
            </w:r>
          </w:p>
          <w:p w14:paraId="039B31E6" w14:textId="77777777" w:rsidR="003C22FD" w:rsidRPr="007D24E4" w:rsidRDefault="003C22FD" w:rsidP="00B26476">
            <w:pPr>
              <w:ind w:left="360"/>
              <w:rPr>
                <w:sz w:val="21"/>
                <w:szCs w:val="21"/>
              </w:rPr>
            </w:pPr>
          </w:p>
          <w:p w14:paraId="4BC3AE33" w14:textId="4A4B7EF3" w:rsidR="00C81712" w:rsidRPr="007D24E4" w:rsidRDefault="003C22FD" w:rsidP="003C22FD">
            <w:pPr>
              <w:ind w:left="595" w:hanging="235"/>
              <w:rPr>
                <w:b/>
                <w:bCs/>
                <w:sz w:val="21"/>
                <w:szCs w:val="21"/>
              </w:rPr>
            </w:pPr>
            <w:r w:rsidRPr="007D24E4">
              <w:rPr>
                <w:sz w:val="21"/>
                <w:szCs w:val="21"/>
              </w:rPr>
              <w:t xml:space="preserve">c. </w:t>
            </w:r>
            <w:r w:rsidR="00B26476" w:rsidRPr="007D24E4">
              <w:rPr>
                <w:sz w:val="21"/>
                <w:szCs w:val="21"/>
              </w:rPr>
              <w:t xml:space="preserve">Reverse intégralement les éventuels bénéfices excédentaires de la vente de produits cannabiques, dans la mesure où ils dépassent la rémunération adéquate de la part de capital propre, à la Confédération qui les affecte à la prévention, à la réduction des risques et </w:t>
            </w:r>
            <w:r w:rsidR="00875739" w:rsidRPr="007D24E4">
              <w:rPr>
                <w:sz w:val="21"/>
                <w:szCs w:val="21"/>
              </w:rPr>
              <w:t>à l’aide en cas d’</w:t>
            </w:r>
            <w:r w:rsidR="00B26476" w:rsidRPr="007D24E4">
              <w:rPr>
                <w:sz w:val="21"/>
                <w:szCs w:val="21"/>
              </w:rPr>
              <w:t>addictions en conformité avec les stratégies nationales en matière de santé ;</w:t>
            </w:r>
          </w:p>
        </w:tc>
      </w:tr>
      <w:tr w:rsidR="00C81712" w:rsidRPr="00717151" w14:paraId="0E4BFB5E" w14:textId="77777777" w:rsidTr="0077201D">
        <w:trPr>
          <w:trHeight w:val="510"/>
        </w:trPr>
        <w:tc>
          <w:tcPr>
            <w:tcW w:w="729" w:type="dxa"/>
          </w:tcPr>
          <w:p w14:paraId="0BFCD5DB" w14:textId="4E0A3449" w:rsidR="00C81712" w:rsidRDefault="009932BE" w:rsidP="000303A8">
            <w:pPr>
              <w:rPr>
                <w:b/>
                <w:bCs/>
                <w:sz w:val="20"/>
                <w:szCs w:val="20"/>
              </w:rPr>
            </w:pPr>
            <w:r>
              <w:rPr>
                <w:b/>
                <w:bCs/>
                <w:sz w:val="20"/>
                <w:szCs w:val="20"/>
              </w:rPr>
              <w:t>50</w:t>
            </w:r>
          </w:p>
        </w:tc>
        <w:tc>
          <w:tcPr>
            <w:tcW w:w="708" w:type="dxa"/>
          </w:tcPr>
          <w:p w14:paraId="7DA4D8B2" w14:textId="778CB9AD" w:rsidR="00C81712" w:rsidRPr="00A5371A" w:rsidRDefault="00E3505E" w:rsidP="000303A8">
            <w:pPr>
              <w:rPr>
                <w:b/>
                <w:bCs/>
                <w:sz w:val="20"/>
                <w:szCs w:val="20"/>
              </w:rPr>
            </w:pPr>
            <w:r>
              <w:rPr>
                <w:b/>
                <w:bCs/>
                <w:sz w:val="20"/>
                <w:szCs w:val="20"/>
              </w:rPr>
              <w:t>1</w:t>
            </w:r>
          </w:p>
        </w:tc>
        <w:tc>
          <w:tcPr>
            <w:tcW w:w="708" w:type="dxa"/>
          </w:tcPr>
          <w:p w14:paraId="381A0FF6" w14:textId="77777777" w:rsidR="00C81712" w:rsidRPr="00A5371A" w:rsidRDefault="00C81712" w:rsidP="000303A8">
            <w:pPr>
              <w:rPr>
                <w:b/>
                <w:bCs/>
                <w:sz w:val="20"/>
                <w:szCs w:val="20"/>
              </w:rPr>
            </w:pPr>
          </w:p>
        </w:tc>
        <w:tc>
          <w:tcPr>
            <w:tcW w:w="6650" w:type="dxa"/>
          </w:tcPr>
          <w:p w14:paraId="52454548" w14:textId="77777777" w:rsidR="00287597" w:rsidRDefault="00287597" w:rsidP="00287597">
            <w:pPr>
              <w:rPr>
                <w:sz w:val="21"/>
                <w:szCs w:val="21"/>
              </w:rPr>
            </w:pPr>
            <w:r>
              <w:rPr>
                <w:sz w:val="21"/>
                <w:szCs w:val="21"/>
              </w:rPr>
              <w:t xml:space="preserve">Cet article règle l’affectation des bénéfices excédentaires de la vente en ligne uniquement, dans la mesure où il s’agit des compétences de la Confédération. </w:t>
            </w:r>
          </w:p>
          <w:p w14:paraId="5AE32E67" w14:textId="3CDD996A" w:rsidR="00C81712" w:rsidRPr="004D5964" w:rsidRDefault="00287597" w:rsidP="000303A8">
            <w:pPr>
              <w:rPr>
                <w:sz w:val="21"/>
                <w:szCs w:val="21"/>
              </w:rPr>
            </w:pPr>
            <w:r>
              <w:rPr>
                <w:sz w:val="21"/>
                <w:szCs w:val="21"/>
              </w:rPr>
              <w:t xml:space="preserve">L’alinéa 1 indique que ces bénéfices doivent être affectés à la prévention, à la réduction des risques et à l’aide en cas d’addictions </w:t>
            </w:r>
            <w:r>
              <w:rPr>
                <w:sz w:val="21"/>
                <w:szCs w:val="21"/>
              </w:rPr>
              <w:lastRenderedPageBreak/>
              <w:t xml:space="preserve">selon l’art. 49 al. 1 let. c. </w:t>
            </w:r>
            <w:r w:rsidR="0010143E">
              <w:rPr>
                <w:sz w:val="21"/>
                <w:szCs w:val="21"/>
              </w:rPr>
              <w:t>Il est prévu</w:t>
            </w:r>
            <w:r>
              <w:rPr>
                <w:sz w:val="21"/>
                <w:szCs w:val="21"/>
              </w:rPr>
              <w:t xml:space="preserve"> que ces mesures </w:t>
            </w:r>
            <w:r w:rsidR="0010143E">
              <w:rPr>
                <w:sz w:val="21"/>
                <w:szCs w:val="21"/>
              </w:rPr>
              <w:t>puissent</w:t>
            </w:r>
            <w:r>
              <w:rPr>
                <w:sz w:val="21"/>
                <w:szCs w:val="21"/>
              </w:rPr>
              <w:t xml:space="preserve"> être réalisées par le concessionnaire lui-même ou par des organisations d’utilité publique. Le GREA s’oppose à ce que ces mesures puissent être réalisées par le concessionnaire, pour les mêmes raisons que celles présentées à l’art. 40 </w:t>
            </w:r>
            <w:r w:rsidR="00070BE5">
              <w:rPr>
                <w:sz w:val="21"/>
                <w:szCs w:val="21"/>
              </w:rPr>
              <w:t xml:space="preserve">al. 1 </w:t>
            </w:r>
            <w:r>
              <w:rPr>
                <w:sz w:val="21"/>
                <w:szCs w:val="21"/>
              </w:rPr>
              <w:t xml:space="preserve">let. </w:t>
            </w:r>
            <w:proofErr w:type="gramStart"/>
            <w:r>
              <w:rPr>
                <w:sz w:val="21"/>
                <w:szCs w:val="21"/>
              </w:rPr>
              <w:t>c</w:t>
            </w:r>
            <w:proofErr w:type="gramEnd"/>
            <w:r>
              <w:rPr>
                <w:sz w:val="21"/>
                <w:szCs w:val="21"/>
              </w:rPr>
              <w:t xml:space="preserve"> </w:t>
            </w:r>
            <w:r w:rsidR="00070BE5">
              <w:rPr>
                <w:sz w:val="21"/>
                <w:szCs w:val="21"/>
              </w:rPr>
              <w:t>(</w:t>
            </w:r>
            <w:r>
              <w:rPr>
                <w:sz w:val="21"/>
                <w:szCs w:val="21"/>
              </w:rPr>
              <w:t xml:space="preserve">effet boomerang, compétences en matière de prévention). L’art. 50 al. 1 doit être modifié. </w:t>
            </w:r>
          </w:p>
        </w:tc>
        <w:tc>
          <w:tcPr>
            <w:tcW w:w="5517" w:type="dxa"/>
          </w:tcPr>
          <w:p w14:paraId="6F2F6244" w14:textId="77777777" w:rsidR="00A03D36" w:rsidRPr="007D24E4" w:rsidRDefault="00A03D36" w:rsidP="00A03D36">
            <w:pPr>
              <w:pStyle w:val="Default"/>
              <w:spacing w:after="120"/>
              <w:rPr>
                <w:rFonts w:ascii="Arial" w:hAnsi="Arial" w:cs="Arial"/>
                <w:color w:val="auto"/>
                <w:sz w:val="21"/>
                <w:szCs w:val="21"/>
              </w:rPr>
            </w:pPr>
            <w:r w:rsidRPr="007D24E4">
              <w:rPr>
                <w:rFonts w:ascii="Arial" w:hAnsi="Arial" w:cs="Arial"/>
                <w:b/>
                <w:bCs/>
                <w:color w:val="auto"/>
                <w:sz w:val="21"/>
                <w:szCs w:val="21"/>
              </w:rPr>
              <w:lastRenderedPageBreak/>
              <w:t xml:space="preserve">Art. 50 </w:t>
            </w:r>
            <w:r w:rsidRPr="007D24E4">
              <w:rPr>
                <w:rFonts w:ascii="Arial" w:hAnsi="Arial" w:cs="Arial"/>
                <w:color w:val="auto"/>
                <w:sz w:val="21"/>
                <w:szCs w:val="21"/>
              </w:rPr>
              <w:t xml:space="preserve">Affectation des bénéfices excédentaires </w:t>
            </w:r>
          </w:p>
          <w:p w14:paraId="5877FDAF" w14:textId="14D6C723" w:rsidR="00C81712" w:rsidRPr="007D24E4" w:rsidRDefault="00A03D36" w:rsidP="00A03D36">
            <w:pPr>
              <w:pStyle w:val="Default"/>
              <w:spacing w:after="120"/>
              <w:rPr>
                <w:rFonts w:asciiTheme="majorHAnsi" w:hAnsiTheme="majorHAnsi" w:cstheme="majorHAnsi"/>
                <w:color w:val="auto"/>
                <w:sz w:val="21"/>
                <w:szCs w:val="21"/>
              </w:rPr>
            </w:pPr>
            <w:r w:rsidRPr="007D24E4">
              <w:rPr>
                <w:rFonts w:ascii="Arial" w:hAnsi="Arial" w:cs="Arial"/>
                <w:color w:val="auto"/>
                <w:sz w:val="21"/>
                <w:szCs w:val="21"/>
                <w:vertAlign w:val="superscript"/>
              </w:rPr>
              <w:t>1</w:t>
            </w:r>
            <w:r w:rsidRPr="007D24E4">
              <w:rPr>
                <w:rFonts w:ascii="Arial" w:hAnsi="Arial" w:cs="Arial"/>
                <w:color w:val="auto"/>
                <w:sz w:val="21"/>
                <w:szCs w:val="21"/>
              </w:rPr>
              <w:t xml:space="preserve"> Dans la mesure où le bénéfice dépasse la rémunération adéquate de la part de capital propre, il est </w:t>
            </w:r>
            <w:r w:rsidRPr="007D24E4">
              <w:rPr>
                <w:rFonts w:ascii="Arial" w:hAnsi="Arial" w:cs="Arial"/>
                <w:color w:val="auto"/>
                <w:sz w:val="21"/>
                <w:szCs w:val="21"/>
              </w:rPr>
              <w:lastRenderedPageBreak/>
              <w:t xml:space="preserve">affecté aux mesures visées à l’art. 49 al. 1, let. </w:t>
            </w:r>
            <w:proofErr w:type="gramStart"/>
            <w:r w:rsidRPr="007D24E4">
              <w:rPr>
                <w:rFonts w:ascii="Arial" w:hAnsi="Arial" w:cs="Arial"/>
                <w:color w:val="auto"/>
                <w:sz w:val="21"/>
                <w:szCs w:val="21"/>
              </w:rPr>
              <w:t>c</w:t>
            </w:r>
            <w:proofErr w:type="gramEnd"/>
            <w:r w:rsidRPr="007D24E4">
              <w:rPr>
                <w:rFonts w:ascii="Arial" w:hAnsi="Arial" w:cs="Arial"/>
                <w:color w:val="auto"/>
                <w:sz w:val="21"/>
                <w:szCs w:val="21"/>
              </w:rPr>
              <w:t>, réalisées par des organisations d’utilité publique.</w:t>
            </w:r>
          </w:p>
        </w:tc>
      </w:tr>
      <w:tr w:rsidR="007E3C35" w:rsidRPr="00717151" w14:paraId="24A2719A" w14:textId="77777777" w:rsidTr="0077201D">
        <w:trPr>
          <w:trHeight w:val="510"/>
        </w:trPr>
        <w:tc>
          <w:tcPr>
            <w:tcW w:w="729" w:type="dxa"/>
          </w:tcPr>
          <w:p w14:paraId="2E444C70" w14:textId="072C3C01" w:rsidR="007E3C35" w:rsidRDefault="007E3C35" w:rsidP="007E3C35">
            <w:pPr>
              <w:rPr>
                <w:b/>
                <w:bCs/>
                <w:sz w:val="20"/>
                <w:szCs w:val="20"/>
              </w:rPr>
            </w:pPr>
            <w:r>
              <w:rPr>
                <w:b/>
                <w:bCs/>
                <w:sz w:val="20"/>
                <w:szCs w:val="20"/>
              </w:rPr>
              <w:lastRenderedPageBreak/>
              <w:t>50</w:t>
            </w:r>
          </w:p>
        </w:tc>
        <w:tc>
          <w:tcPr>
            <w:tcW w:w="708" w:type="dxa"/>
          </w:tcPr>
          <w:p w14:paraId="0D352342" w14:textId="4706AB9C" w:rsidR="007E3C35" w:rsidRPr="00A5371A" w:rsidRDefault="007E3C35" w:rsidP="007E3C35">
            <w:pPr>
              <w:rPr>
                <w:b/>
                <w:bCs/>
                <w:sz w:val="20"/>
                <w:szCs w:val="20"/>
              </w:rPr>
            </w:pPr>
            <w:r>
              <w:rPr>
                <w:b/>
                <w:bCs/>
                <w:sz w:val="20"/>
                <w:szCs w:val="20"/>
              </w:rPr>
              <w:t>2</w:t>
            </w:r>
          </w:p>
        </w:tc>
        <w:tc>
          <w:tcPr>
            <w:tcW w:w="708" w:type="dxa"/>
          </w:tcPr>
          <w:p w14:paraId="4A9641CA" w14:textId="77777777" w:rsidR="007E3C35" w:rsidRPr="00A5371A" w:rsidRDefault="007E3C35" w:rsidP="007E3C35">
            <w:pPr>
              <w:rPr>
                <w:b/>
                <w:bCs/>
                <w:sz w:val="20"/>
                <w:szCs w:val="20"/>
              </w:rPr>
            </w:pPr>
          </w:p>
        </w:tc>
        <w:tc>
          <w:tcPr>
            <w:tcW w:w="6650" w:type="dxa"/>
          </w:tcPr>
          <w:p w14:paraId="2DD4EB6E" w14:textId="41527693" w:rsidR="007E3C35" w:rsidRDefault="007E3C35" w:rsidP="007E3C35">
            <w:pPr>
              <w:rPr>
                <w:sz w:val="21"/>
                <w:szCs w:val="21"/>
              </w:rPr>
            </w:pPr>
            <w:r>
              <w:rPr>
                <w:sz w:val="21"/>
                <w:szCs w:val="21"/>
              </w:rPr>
              <w:t>L’al</w:t>
            </w:r>
            <w:r w:rsidR="00D61142">
              <w:rPr>
                <w:sz w:val="21"/>
                <w:szCs w:val="21"/>
              </w:rPr>
              <w:t>.</w:t>
            </w:r>
            <w:r>
              <w:rPr>
                <w:sz w:val="21"/>
                <w:szCs w:val="21"/>
              </w:rPr>
              <w:t xml:space="preserve"> 2</w:t>
            </w:r>
            <w:r w:rsidR="00D61142">
              <w:rPr>
                <w:sz w:val="21"/>
                <w:szCs w:val="21"/>
              </w:rPr>
              <w:t xml:space="preserve"> de l’art. 50</w:t>
            </w:r>
            <w:r>
              <w:rPr>
                <w:sz w:val="21"/>
                <w:szCs w:val="21"/>
              </w:rPr>
              <w:t xml:space="preserve"> prévoit que le concessionnaire puisse gérer lui-même ce fonds ou le déléguer à une organisation appropriée. Ce point n’est pas non plus satisfaisant et doit être changé pour de multiples raisons :</w:t>
            </w:r>
          </w:p>
          <w:p w14:paraId="5C58976D" w14:textId="77777777" w:rsidR="007E3C35" w:rsidRDefault="007E3C35" w:rsidP="007E3C35">
            <w:pPr>
              <w:pStyle w:val="Paragraphedeliste"/>
              <w:numPr>
                <w:ilvl w:val="0"/>
                <w:numId w:val="3"/>
              </w:numPr>
              <w:spacing w:after="120" w:line="280" w:lineRule="atLeast"/>
              <w:jc w:val="both"/>
              <w:rPr>
                <w:sz w:val="21"/>
                <w:szCs w:val="21"/>
              </w:rPr>
            </w:pPr>
            <w:r>
              <w:rPr>
                <w:sz w:val="21"/>
                <w:szCs w:val="21"/>
              </w:rPr>
              <w:t xml:space="preserve">Comme expliqué aux articles </w:t>
            </w:r>
            <w:r w:rsidRPr="00D61142">
              <w:rPr>
                <w:sz w:val="21"/>
                <w:szCs w:val="21"/>
              </w:rPr>
              <w:t>40 et 49</w:t>
            </w:r>
            <w:r>
              <w:rPr>
                <w:sz w:val="21"/>
                <w:szCs w:val="21"/>
              </w:rPr>
              <w:t>, l’expérience et la littérature scientifique montrent qu’il est contre-productif de demander aux vendeurs de produits et services addictifs de transmettre également des messages de prévention (effet boomerang). Il est beaucoup plus pertinent de séparer clairement les deux acteurs dans une perspective de santé publique et de prévention efficace.</w:t>
            </w:r>
          </w:p>
          <w:p w14:paraId="4DB620D7" w14:textId="2EC56EA3" w:rsidR="007E3C35" w:rsidRDefault="007E3C35" w:rsidP="007E3C35">
            <w:pPr>
              <w:pStyle w:val="Paragraphedeliste"/>
              <w:numPr>
                <w:ilvl w:val="0"/>
                <w:numId w:val="3"/>
              </w:numPr>
              <w:spacing w:after="120" w:line="280" w:lineRule="atLeast"/>
              <w:jc w:val="both"/>
              <w:rPr>
                <w:sz w:val="21"/>
                <w:szCs w:val="21"/>
              </w:rPr>
            </w:pPr>
            <w:r>
              <w:rPr>
                <w:sz w:val="21"/>
                <w:szCs w:val="21"/>
              </w:rPr>
              <w:t>L’OFSP gère déjà les Fonds pour la prévention alcool</w:t>
            </w:r>
            <w:r w:rsidR="00C2736F">
              <w:rPr>
                <w:sz w:val="21"/>
                <w:szCs w:val="21"/>
              </w:rPr>
              <w:t>, qui</w:t>
            </w:r>
            <w:r>
              <w:rPr>
                <w:sz w:val="21"/>
                <w:szCs w:val="21"/>
              </w:rPr>
              <w:t xml:space="preserve"> sert également à la mise en œuvre de la Stratégie nationale Addictions. Il apparait dès lors évident que l’OFSP est la mieux placée pour gérer ce fonds de bénéfices excédentaires du cannabis : </w:t>
            </w:r>
          </w:p>
          <w:p w14:paraId="5F16B5B0" w14:textId="77777777" w:rsidR="007E3C35" w:rsidRDefault="007E3C35" w:rsidP="007E3C35">
            <w:pPr>
              <w:pStyle w:val="Paragraphedeliste"/>
              <w:numPr>
                <w:ilvl w:val="0"/>
                <w:numId w:val="3"/>
              </w:numPr>
              <w:spacing w:after="120" w:line="280" w:lineRule="atLeast"/>
              <w:ind w:left="1167" w:hanging="219"/>
              <w:jc w:val="both"/>
              <w:rPr>
                <w:sz w:val="21"/>
                <w:szCs w:val="21"/>
              </w:rPr>
            </w:pPr>
            <w:r>
              <w:rPr>
                <w:sz w:val="21"/>
                <w:szCs w:val="21"/>
              </w:rPr>
              <w:t>L’OFSP connaitra toujours mieux qu’un éventuel concessionnaire la Stratégie nationale Addictions qui est de sa compétence et saura comment gérer le fonds, quel projet financer, afin de la mettre en œuvre au mieux ;</w:t>
            </w:r>
          </w:p>
          <w:p w14:paraId="05451C20" w14:textId="77777777" w:rsidR="007E3C35" w:rsidRDefault="007E3C35" w:rsidP="007E3C35">
            <w:pPr>
              <w:pStyle w:val="Paragraphedeliste"/>
              <w:numPr>
                <w:ilvl w:val="0"/>
                <w:numId w:val="3"/>
              </w:numPr>
              <w:spacing w:after="120" w:line="280" w:lineRule="atLeast"/>
              <w:ind w:left="1167" w:hanging="219"/>
              <w:jc w:val="both"/>
              <w:rPr>
                <w:sz w:val="21"/>
                <w:szCs w:val="21"/>
              </w:rPr>
            </w:pPr>
            <w:r>
              <w:rPr>
                <w:sz w:val="21"/>
                <w:szCs w:val="21"/>
              </w:rPr>
              <w:t>L’OFSP connait déjà le réseau professionnel et associatif du domaine des addictions et de la prévention, ainsi que les activités et mesures existantes ; elle saura mieux quelles mesures financer ;</w:t>
            </w:r>
          </w:p>
          <w:p w14:paraId="47549C6A" w14:textId="5A9E9A5D" w:rsidR="007E3C35" w:rsidRDefault="007E3C35" w:rsidP="007E3C35">
            <w:pPr>
              <w:pStyle w:val="Paragraphedeliste"/>
              <w:numPr>
                <w:ilvl w:val="0"/>
                <w:numId w:val="3"/>
              </w:numPr>
              <w:spacing w:after="120" w:line="280" w:lineRule="atLeast"/>
              <w:ind w:left="1167" w:hanging="219"/>
              <w:jc w:val="both"/>
              <w:rPr>
                <w:sz w:val="21"/>
                <w:szCs w:val="21"/>
              </w:rPr>
            </w:pPr>
            <w:r>
              <w:rPr>
                <w:sz w:val="21"/>
                <w:szCs w:val="21"/>
              </w:rPr>
              <w:lastRenderedPageBreak/>
              <w:t xml:space="preserve">Laisser l’OFSP gérer ce nouveau fonds permet également de limiter le nombre de portes d’entrée pour financer des mesures de prévention et de lutte contre les addictions ainsi que de créer des synergies avec </w:t>
            </w:r>
            <w:r w:rsidR="00C2736F">
              <w:rPr>
                <w:sz w:val="21"/>
                <w:szCs w:val="21"/>
              </w:rPr>
              <w:t>le</w:t>
            </w:r>
            <w:r>
              <w:rPr>
                <w:sz w:val="21"/>
                <w:szCs w:val="21"/>
              </w:rPr>
              <w:t xml:space="preserve"> fonds de prévention alcool. </w:t>
            </w:r>
          </w:p>
          <w:p w14:paraId="14016F78" w14:textId="5D3D0055" w:rsidR="007E3C35" w:rsidRDefault="008933F6" w:rsidP="007E3C35">
            <w:pPr>
              <w:pStyle w:val="Paragraphedeliste"/>
              <w:numPr>
                <w:ilvl w:val="0"/>
                <w:numId w:val="3"/>
              </w:numPr>
              <w:spacing w:after="120" w:line="280" w:lineRule="atLeast"/>
              <w:ind w:left="883" w:hanging="567"/>
              <w:jc w:val="both"/>
              <w:rPr>
                <w:sz w:val="21"/>
                <w:szCs w:val="21"/>
              </w:rPr>
            </w:pPr>
            <w:r>
              <w:rPr>
                <w:sz w:val="21"/>
                <w:szCs w:val="21"/>
              </w:rPr>
              <w:t>S</w:t>
            </w:r>
            <w:r w:rsidR="007E3C35">
              <w:rPr>
                <w:sz w:val="21"/>
                <w:szCs w:val="21"/>
              </w:rPr>
              <w:t>i l’organisation titulaire de la concession de vente en ligne réalise elle-même des activités de prévention ou gère elle-même le fonds, elle devra engager du personnel pour ce faire. Elle aura donc besoin de pouvoir compter sur des recettes pour payer les salaires. Cette nécessité peut la détourner de l’objectif premier de cette loi, c’est-à-dire de la santé publique, en voulant faire plus de ventes.</w:t>
            </w:r>
          </w:p>
          <w:p w14:paraId="0166BFAC" w14:textId="161E03B9" w:rsidR="007E3C35" w:rsidRPr="004D5964" w:rsidRDefault="007E3C35" w:rsidP="007E3C35">
            <w:pPr>
              <w:rPr>
                <w:sz w:val="21"/>
                <w:szCs w:val="21"/>
              </w:rPr>
            </w:pPr>
            <w:r>
              <w:rPr>
                <w:sz w:val="21"/>
                <w:szCs w:val="21"/>
              </w:rPr>
              <w:t>Pour toutes ces raisons, il est nécessaire que le fonds soit géré par l’OFSP.</w:t>
            </w:r>
          </w:p>
        </w:tc>
        <w:tc>
          <w:tcPr>
            <w:tcW w:w="5517" w:type="dxa"/>
          </w:tcPr>
          <w:p w14:paraId="33D70D7A" w14:textId="77777777" w:rsidR="006366DE" w:rsidRPr="007D24E4" w:rsidRDefault="006366DE" w:rsidP="006366DE">
            <w:pPr>
              <w:pStyle w:val="Default"/>
              <w:spacing w:after="120"/>
              <w:rPr>
                <w:rFonts w:ascii="Arial" w:hAnsi="Arial" w:cs="Arial"/>
                <w:color w:val="auto"/>
                <w:sz w:val="21"/>
                <w:szCs w:val="21"/>
              </w:rPr>
            </w:pPr>
            <w:r w:rsidRPr="007D24E4">
              <w:rPr>
                <w:rFonts w:ascii="Arial" w:hAnsi="Arial" w:cs="Arial"/>
                <w:b/>
                <w:bCs/>
                <w:color w:val="auto"/>
                <w:sz w:val="21"/>
                <w:szCs w:val="21"/>
              </w:rPr>
              <w:lastRenderedPageBreak/>
              <w:t xml:space="preserve">Art. 50 </w:t>
            </w:r>
            <w:r w:rsidRPr="007D24E4">
              <w:rPr>
                <w:rFonts w:ascii="Arial" w:hAnsi="Arial" w:cs="Arial"/>
                <w:color w:val="auto"/>
                <w:sz w:val="21"/>
                <w:szCs w:val="21"/>
              </w:rPr>
              <w:t xml:space="preserve">Affectation des bénéfices excédentaires </w:t>
            </w:r>
          </w:p>
          <w:p w14:paraId="5DD3E26E" w14:textId="7C8D5B73" w:rsidR="007E3C35" w:rsidRPr="007D24E4" w:rsidRDefault="00D144B0" w:rsidP="00D144B0">
            <w:pPr>
              <w:pStyle w:val="Default"/>
              <w:spacing w:after="120"/>
              <w:rPr>
                <w:rFonts w:asciiTheme="majorHAnsi" w:hAnsiTheme="majorHAnsi" w:cstheme="majorHAnsi"/>
                <w:color w:val="auto"/>
                <w:sz w:val="21"/>
                <w:szCs w:val="21"/>
              </w:rPr>
            </w:pPr>
            <w:r w:rsidRPr="007D24E4">
              <w:rPr>
                <w:rFonts w:ascii="Arial" w:hAnsi="Arial" w:cs="Arial"/>
                <w:color w:val="auto"/>
                <w:sz w:val="21"/>
                <w:szCs w:val="21"/>
                <w:vertAlign w:val="superscript"/>
              </w:rPr>
              <w:t>2</w:t>
            </w:r>
            <w:r w:rsidRPr="007D24E4">
              <w:rPr>
                <w:rFonts w:ascii="Arial" w:hAnsi="Arial" w:cs="Arial"/>
                <w:color w:val="auto"/>
                <w:sz w:val="21"/>
                <w:szCs w:val="21"/>
              </w:rPr>
              <w:t xml:space="preserve"> L’OFSP gère le fonds provenant de la vente au sens de l’art. 49, al. 1, let. c</w:t>
            </w:r>
            <w:r w:rsidRPr="007D24E4">
              <w:rPr>
                <w:rFonts w:asciiTheme="majorHAnsi" w:hAnsiTheme="majorHAnsi" w:cstheme="majorHAnsi"/>
                <w:color w:val="auto"/>
                <w:sz w:val="21"/>
                <w:szCs w:val="21"/>
              </w:rPr>
              <w:t xml:space="preserve">. </w:t>
            </w:r>
          </w:p>
        </w:tc>
      </w:tr>
      <w:tr w:rsidR="002F37FD" w:rsidRPr="00717151" w14:paraId="6E6976D0" w14:textId="77777777" w:rsidTr="0077201D">
        <w:trPr>
          <w:trHeight w:val="510"/>
        </w:trPr>
        <w:tc>
          <w:tcPr>
            <w:tcW w:w="729" w:type="dxa"/>
          </w:tcPr>
          <w:p w14:paraId="4FFB5957" w14:textId="25E804D0" w:rsidR="002F37FD" w:rsidRDefault="00A1235D" w:rsidP="00EE1105">
            <w:pPr>
              <w:rPr>
                <w:b/>
                <w:bCs/>
                <w:sz w:val="20"/>
                <w:szCs w:val="20"/>
              </w:rPr>
            </w:pPr>
            <w:r>
              <w:rPr>
                <w:b/>
                <w:bCs/>
                <w:sz w:val="20"/>
                <w:szCs w:val="20"/>
              </w:rPr>
              <w:t>52</w:t>
            </w:r>
          </w:p>
        </w:tc>
        <w:tc>
          <w:tcPr>
            <w:tcW w:w="708" w:type="dxa"/>
          </w:tcPr>
          <w:p w14:paraId="789F3811" w14:textId="510D75BB" w:rsidR="002F37FD" w:rsidRDefault="00A1235D" w:rsidP="00EE1105">
            <w:pPr>
              <w:rPr>
                <w:b/>
                <w:bCs/>
                <w:sz w:val="20"/>
                <w:szCs w:val="20"/>
              </w:rPr>
            </w:pPr>
            <w:r>
              <w:rPr>
                <w:b/>
                <w:bCs/>
                <w:sz w:val="20"/>
                <w:szCs w:val="20"/>
              </w:rPr>
              <w:t>1</w:t>
            </w:r>
          </w:p>
        </w:tc>
        <w:tc>
          <w:tcPr>
            <w:tcW w:w="708" w:type="dxa"/>
          </w:tcPr>
          <w:p w14:paraId="0F36DFBC" w14:textId="0C6A5C6E" w:rsidR="002F37FD" w:rsidRDefault="00A1235D" w:rsidP="00EE1105">
            <w:pPr>
              <w:rPr>
                <w:b/>
                <w:bCs/>
                <w:sz w:val="20"/>
                <w:szCs w:val="20"/>
              </w:rPr>
            </w:pPr>
            <w:proofErr w:type="gramStart"/>
            <w:r>
              <w:rPr>
                <w:b/>
                <w:bCs/>
                <w:sz w:val="20"/>
                <w:szCs w:val="20"/>
              </w:rPr>
              <w:t>j</w:t>
            </w:r>
            <w:proofErr w:type="gramEnd"/>
          </w:p>
        </w:tc>
        <w:tc>
          <w:tcPr>
            <w:tcW w:w="6650" w:type="dxa"/>
          </w:tcPr>
          <w:p w14:paraId="466FF604" w14:textId="27F4F32F" w:rsidR="00AD6212" w:rsidRPr="00B837AC" w:rsidRDefault="00AD6212" w:rsidP="00AD6212">
            <w:pPr>
              <w:rPr>
                <w:sz w:val="21"/>
                <w:szCs w:val="21"/>
              </w:rPr>
            </w:pPr>
            <w:r w:rsidRPr="00B837AC">
              <w:rPr>
                <w:sz w:val="21"/>
                <w:szCs w:val="21"/>
              </w:rPr>
              <w:t xml:space="preserve">En cohérence avec l’art. 42 al. 1 let. </w:t>
            </w:r>
            <w:proofErr w:type="gramStart"/>
            <w:r w:rsidRPr="00B837AC">
              <w:rPr>
                <w:sz w:val="21"/>
                <w:szCs w:val="21"/>
              </w:rPr>
              <w:t>j</w:t>
            </w:r>
            <w:proofErr w:type="gramEnd"/>
            <w:r w:rsidRPr="00B837AC">
              <w:rPr>
                <w:sz w:val="21"/>
                <w:szCs w:val="21"/>
              </w:rPr>
              <w:t xml:space="preserve"> LPCan, le GREA estime que la définition des personnes titulaires d’un titre de séjour, telle qu’elle figure dans le message explicatif, appelle une clarification. En effet, le message inclut parmi les « personnes titulaires d’un titre de séjour » des catégories telles que les personnes admises provisoirement (permis F), les requérants d’asile (permis N) ou les personnes bénéficiant de la protection provisoire (permis S). Or, ces statuts ne correspondent pas, au sens strict du droit des étrangers, à des permis de séjour. Il existe dès lors une confusion terminologique entre, d’une part, les titres de séjour au sens strict (permis B, C, ou L) et, d’autre part, des statuts relevant du domaine de l’asile ou de la protection provisoire.  </w:t>
            </w:r>
          </w:p>
          <w:p w14:paraId="39E9338B" w14:textId="77777777" w:rsidR="00AD6212" w:rsidRPr="00B837AC" w:rsidRDefault="00AD6212" w:rsidP="00AD6212">
            <w:pPr>
              <w:rPr>
                <w:sz w:val="21"/>
                <w:szCs w:val="21"/>
              </w:rPr>
            </w:pPr>
          </w:p>
          <w:p w14:paraId="48DB9D23" w14:textId="2469A192" w:rsidR="00AD6212" w:rsidRPr="00B837AC" w:rsidRDefault="00AD6212" w:rsidP="00AD6212">
            <w:pPr>
              <w:rPr>
                <w:sz w:val="21"/>
                <w:szCs w:val="21"/>
              </w:rPr>
            </w:pPr>
            <w:r w:rsidRPr="00B837AC">
              <w:rPr>
                <w:sz w:val="21"/>
                <w:szCs w:val="21"/>
              </w:rPr>
              <w:t>Ainsi, le GREA estime qu’une clarification de ces catégories est nécessaire pour garantir la cohérence de la réglementation et assurer une application uniforme de la loi.</w:t>
            </w:r>
          </w:p>
          <w:p w14:paraId="2C282228" w14:textId="77777777" w:rsidR="00AD6212" w:rsidRPr="00B837AC" w:rsidRDefault="00AD6212" w:rsidP="00AD6212">
            <w:pPr>
              <w:rPr>
                <w:sz w:val="21"/>
                <w:szCs w:val="21"/>
              </w:rPr>
            </w:pPr>
            <w:r w:rsidRPr="00B837AC">
              <w:rPr>
                <w:sz w:val="21"/>
                <w:szCs w:val="21"/>
              </w:rPr>
              <w:lastRenderedPageBreak/>
              <w:t xml:space="preserve">Le GREA considère par ailleurs que l’exclusion du marché régulé du cannabis des titulaires d’une autorisation de séjour de courte durée (permis L) n’apparaît pas justifiée. Ces personnes séjournent légalement en Suisse, pour une durée pouvant aller jusqu’à une année. Leur exclusion risque d’alimenter le marché noir, ce qui va en contradiction avec les objectifs poursuivis par la régulation, à </w:t>
            </w:r>
            <w:proofErr w:type="gramStart"/>
            <w:r w:rsidRPr="00B837AC">
              <w:rPr>
                <w:sz w:val="21"/>
                <w:szCs w:val="21"/>
              </w:rPr>
              <w:t>savoir,  de</w:t>
            </w:r>
            <w:proofErr w:type="gramEnd"/>
            <w:r w:rsidRPr="00B837AC">
              <w:rPr>
                <w:sz w:val="21"/>
                <w:szCs w:val="21"/>
              </w:rPr>
              <w:t xml:space="preserve"> prévenir et réduire la consommation problématique de cannabis, le contrôle de la qualité des produits, la protection de la santé publique et la réduction du marché illégal.</w:t>
            </w:r>
          </w:p>
          <w:p w14:paraId="1AB3153A" w14:textId="77777777" w:rsidR="00AD6212" w:rsidRPr="00B837AC" w:rsidRDefault="00AD6212" w:rsidP="00AD6212">
            <w:pPr>
              <w:rPr>
                <w:sz w:val="21"/>
                <w:szCs w:val="21"/>
              </w:rPr>
            </w:pPr>
          </w:p>
          <w:p w14:paraId="248585F4" w14:textId="63420A7D" w:rsidR="00AD6212" w:rsidRPr="00B837AC" w:rsidRDefault="00AD6212" w:rsidP="00AD6212">
            <w:pPr>
              <w:rPr>
                <w:sz w:val="21"/>
                <w:szCs w:val="21"/>
              </w:rPr>
            </w:pPr>
            <w:r w:rsidRPr="00B837AC">
              <w:rPr>
                <w:sz w:val="21"/>
                <w:szCs w:val="21"/>
              </w:rPr>
              <w:t>Le GREA estime dès lors pertinent d’autoriser également les titulaires d’un permis L à accéder au marché régulé, au même titre que les autres personnes majeures résidant légalement en Suisse.</w:t>
            </w:r>
          </w:p>
          <w:p w14:paraId="4731F701" w14:textId="77777777" w:rsidR="002F37FD" w:rsidRDefault="002F37FD" w:rsidP="00EE1105">
            <w:pPr>
              <w:rPr>
                <w:sz w:val="21"/>
                <w:szCs w:val="21"/>
              </w:rPr>
            </w:pPr>
          </w:p>
        </w:tc>
        <w:tc>
          <w:tcPr>
            <w:tcW w:w="5517" w:type="dxa"/>
          </w:tcPr>
          <w:p w14:paraId="62DDB4AF" w14:textId="77777777" w:rsidR="002F37FD" w:rsidRPr="007D24E4" w:rsidRDefault="002F37FD" w:rsidP="00EE1105">
            <w:pPr>
              <w:rPr>
                <w:b/>
                <w:bCs/>
                <w:sz w:val="21"/>
                <w:szCs w:val="21"/>
              </w:rPr>
            </w:pPr>
          </w:p>
        </w:tc>
      </w:tr>
      <w:tr w:rsidR="002F5659" w:rsidRPr="00717151" w14:paraId="3CFC726B" w14:textId="77777777" w:rsidTr="0077201D">
        <w:trPr>
          <w:trHeight w:val="510"/>
        </w:trPr>
        <w:tc>
          <w:tcPr>
            <w:tcW w:w="729" w:type="dxa"/>
          </w:tcPr>
          <w:p w14:paraId="5E282AA4" w14:textId="57299BE8" w:rsidR="002F5659" w:rsidRDefault="00283988" w:rsidP="007E3C35">
            <w:pPr>
              <w:rPr>
                <w:b/>
                <w:bCs/>
                <w:sz w:val="20"/>
                <w:szCs w:val="20"/>
              </w:rPr>
            </w:pPr>
            <w:r>
              <w:rPr>
                <w:b/>
                <w:bCs/>
                <w:sz w:val="20"/>
                <w:szCs w:val="20"/>
              </w:rPr>
              <w:t>52</w:t>
            </w:r>
          </w:p>
        </w:tc>
        <w:tc>
          <w:tcPr>
            <w:tcW w:w="708" w:type="dxa"/>
          </w:tcPr>
          <w:p w14:paraId="45F8B8DC" w14:textId="6FFFAFB2" w:rsidR="002F5659" w:rsidRDefault="00C10B19" w:rsidP="007E3C35">
            <w:pPr>
              <w:rPr>
                <w:b/>
                <w:bCs/>
                <w:sz w:val="20"/>
                <w:szCs w:val="20"/>
              </w:rPr>
            </w:pPr>
            <w:r>
              <w:rPr>
                <w:b/>
                <w:bCs/>
                <w:sz w:val="20"/>
                <w:szCs w:val="20"/>
              </w:rPr>
              <w:t>1</w:t>
            </w:r>
          </w:p>
        </w:tc>
        <w:tc>
          <w:tcPr>
            <w:tcW w:w="708" w:type="dxa"/>
          </w:tcPr>
          <w:p w14:paraId="71D89D3F" w14:textId="71D8EEBB" w:rsidR="002F5659" w:rsidRPr="00A5371A" w:rsidRDefault="0020234D" w:rsidP="007E3C35">
            <w:pPr>
              <w:rPr>
                <w:b/>
                <w:bCs/>
                <w:sz w:val="20"/>
                <w:szCs w:val="20"/>
              </w:rPr>
            </w:pPr>
            <w:proofErr w:type="gramStart"/>
            <w:r>
              <w:rPr>
                <w:b/>
                <w:bCs/>
                <w:sz w:val="20"/>
                <w:szCs w:val="20"/>
              </w:rPr>
              <w:t>o</w:t>
            </w:r>
            <w:proofErr w:type="gramEnd"/>
          </w:p>
        </w:tc>
        <w:tc>
          <w:tcPr>
            <w:tcW w:w="6650" w:type="dxa"/>
          </w:tcPr>
          <w:p w14:paraId="1E15651D" w14:textId="0DAF3ECF" w:rsidR="002F5659" w:rsidRDefault="0084071D" w:rsidP="00E42DB2">
            <w:pPr>
              <w:rPr>
                <w:sz w:val="21"/>
                <w:szCs w:val="21"/>
              </w:rPr>
            </w:pPr>
            <w:r>
              <w:rPr>
                <w:sz w:val="21"/>
                <w:szCs w:val="21"/>
              </w:rPr>
              <w:t>La vente en ligne doit être conçue comme subsidiaire à la vente terrestre</w:t>
            </w:r>
            <w:r w:rsidR="00C377B5">
              <w:rPr>
                <w:sz w:val="21"/>
                <w:szCs w:val="21"/>
              </w:rPr>
              <w:t xml:space="preserve">, qui offre de meilleures garanties en termes de protection de la jeunesse et de conseils de la clientèle. </w:t>
            </w:r>
            <w:r w:rsidR="008B5969">
              <w:rPr>
                <w:sz w:val="21"/>
                <w:szCs w:val="21"/>
              </w:rPr>
              <w:t xml:space="preserve">À cette fin, un levier intéressant oublié par la commission est celui du prix : le GREA propose la création d’une nouvelle let. </w:t>
            </w:r>
            <w:proofErr w:type="gramStart"/>
            <w:r w:rsidR="008B5969">
              <w:rPr>
                <w:sz w:val="21"/>
                <w:szCs w:val="21"/>
              </w:rPr>
              <w:t>o</w:t>
            </w:r>
            <w:proofErr w:type="gramEnd"/>
            <w:r w:rsidR="008B5969">
              <w:rPr>
                <w:sz w:val="21"/>
                <w:szCs w:val="21"/>
              </w:rPr>
              <w:t xml:space="preserve"> </w:t>
            </w:r>
            <w:r w:rsidR="00E5688A">
              <w:rPr>
                <w:sz w:val="21"/>
                <w:szCs w:val="21"/>
              </w:rPr>
              <w:t xml:space="preserve">afin de s’assurer que les prix pratiqués sur la vente en ligne </w:t>
            </w:r>
            <w:r w:rsidR="007277DB">
              <w:rPr>
                <w:sz w:val="21"/>
                <w:szCs w:val="21"/>
              </w:rPr>
              <w:t>ne soient pas inférieurs aux prix pratiqués dans les points de vente. On pourrait ainsi imaginer que le prix des produits cannabiques vendus en ligne doive s’aligner sur le prix le plus haut pratiqué en point de vente.</w:t>
            </w:r>
          </w:p>
        </w:tc>
        <w:tc>
          <w:tcPr>
            <w:tcW w:w="5517" w:type="dxa"/>
          </w:tcPr>
          <w:p w14:paraId="4289A865" w14:textId="77777777" w:rsidR="003D3557" w:rsidRPr="007D24E4" w:rsidRDefault="003D3557" w:rsidP="003D3557">
            <w:pPr>
              <w:rPr>
                <w:sz w:val="21"/>
                <w:szCs w:val="21"/>
              </w:rPr>
            </w:pPr>
            <w:r w:rsidRPr="007D24E4">
              <w:rPr>
                <w:b/>
                <w:bCs/>
                <w:sz w:val="21"/>
                <w:szCs w:val="21"/>
              </w:rPr>
              <w:t>Art. 52</w:t>
            </w:r>
            <w:r w:rsidRPr="007D24E4">
              <w:rPr>
                <w:sz w:val="21"/>
                <w:szCs w:val="21"/>
              </w:rPr>
              <w:t xml:space="preserve"> Exigences applicables au concessionnaire</w:t>
            </w:r>
          </w:p>
          <w:p w14:paraId="360E0CA0" w14:textId="77777777" w:rsidR="003D3557" w:rsidRPr="007D24E4" w:rsidRDefault="003D3557" w:rsidP="003D3557">
            <w:pPr>
              <w:rPr>
                <w:sz w:val="21"/>
                <w:szCs w:val="21"/>
              </w:rPr>
            </w:pPr>
            <w:r w:rsidRPr="007D24E4">
              <w:rPr>
                <w:sz w:val="21"/>
                <w:szCs w:val="21"/>
                <w:vertAlign w:val="superscript"/>
              </w:rPr>
              <w:t>1</w:t>
            </w:r>
            <w:r w:rsidRPr="007D24E4">
              <w:rPr>
                <w:sz w:val="21"/>
                <w:szCs w:val="21"/>
              </w:rPr>
              <w:t xml:space="preserve"> Le concessionnaire répond aux exigences suivantes :</w:t>
            </w:r>
          </w:p>
          <w:p w14:paraId="5407191C" w14:textId="77777777" w:rsidR="003D3557" w:rsidRPr="007D24E4" w:rsidRDefault="003D3557" w:rsidP="003D3557">
            <w:pPr>
              <w:rPr>
                <w:sz w:val="21"/>
                <w:szCs w:val="21"/>
              </w:rPr>
            </w:pPr>
            <w:r w:rsidRPr="007D24E4">
              <w:rPr>
                <w:sz w:val="21"/>
                <w:szCs w:val="21"/>
              </w:rPr>
              <w:t>…</w:t>
            </w:r>
          </w:p>
          <w:p w14:paraId="35D4BA50" w14:textId="0F800121" w:rsidR="002F5659" w:rsidRPr="007D24E4" w:rsidRDefault="003D3557" w:rsidP="006C7F08">
            <w:pPr>
              <w:pStyle w:val="Default"/>
              <w:rPr>
                <w:rFonts w:ascii="Arial" w:hAnsi="Arial" w:cs="Arial"/>
                <w:color w:val="auto"/>
                <w:sz w:val="21"/>
                <w:szCs w:val="21"/>
              </w:rPr>
            </w:pPr>
            <w:r w:rsidRPr="007D24E4">
              <w:rPr>
                <w:rFonts w:ascii="Arial" w:hAnsi="Arial" w:cs="Arial"/>
                <w:color w:val="auto"/>
                <w:sz w:val="21"/>
                <w:szCs w:val="21"/>
              </w:rPr>
              <w:t xml:space="preserve">o. </w:t>
            </w:r>
            <w:r w:rsidR="00D96DA3" w:rsidRPr="007D24E4">
              <w:rPr>
                <w:rFonts w:ascii="Arial" w:hAnsi="Arial" w:cs="Arial"/>
                <w:color w:val="auto"/>
                <w:sz w:val="21"/>
                <w:szCs w:val="21"/>
              </w:rPr>
              <w:t xml:space="preserve">(nouveau) </w:t>
            </w:r>
            <w:r w:rsidRPr="007D24E4">
              <w:rPr>
                <w:rFonts w:ascii="Arial" w:hAnsi="Arial" w:cs="Arial"/>
                <w:color w:val="auto"/>
                <w:sz w:val="21"/>
                <w:szCs w:val="21"/>
              </w:rPr>
              <w:t>il aligne le</w:t>
            </w:r>
            <w:r w:rsidR="007E0324" w:rsidRPr="007D24E4">
              <w:rPr>
                <w:rFonts w:ascii="Arial" w:hAnsi="Arial" w:cs="Arial"/>
                <w:color w:val="auto"/>
                <w:sz w:val="21"/>
                <w:szCs w:val="21"/>
              </w:rPr>
              <w:t>s</w:t>
            </w:r>
            <w:r w:rsidRPr="007D24E4">
              <w:rPr>
                <w:rFonts w:ascii="Arial" w:hAnsi="Arial" w:cs="Arial"/>
                <w:color w:val="auto"/>
                <w:sz w:val="21"/>
                <w:szCs w:val="21"/>
              </w:rPr>
              <w:t xml:space="preserve"> prix</w:t>
            </w:r>
            <w:r w:rsidR="001718E5" w:rsidRPr="007D24E4">
              <w:rPr>
                <w:rFonts w:ascii="Arial" w:hAnsi="Arial" w:cs="Arial"/>
                <w:color w:val="auto"/>
                <w:sz w:val="21"/>
                <w:szCs w:val="21"/>
              </w:rPr>
              <w:t xml:space="preserve"> des produits cannabiques vendus </w:t>
            </w:r>
            <w:r w:rsidR="007E0324" w:rsidRPr="007D24E4">
              <w:rPr>
                <w:rFonts w:ascii="Arial" w:hAnsi="Arial" w:cs="Arial"/>
                <w:color w:val="auto"/>
                <w:sz w:val="21"/>
                <w:szCs w:val="21"/>
              </w:rPr>
              <w:t xml:space="preserve">sur les prix les plus hauts pratiqués dans </w:t>
            </w:r>
            <w:r w:rsidR="0081349C" w:rsidRPr="007D24E4">
              <w:rPr>
                <w:rFonts w:ascii="Arial" w:hAnsi="Arial" w:cs="Arial"/>
                <w:color w:val="auto"/>
                <w:sz w:val="21"/>
                <w:szCs w:val="21"/>
              </w:rPr>
              <w:t>les points de vente cantonaux.</w:t>
            </w:r>
          </w:p>
        </w:tc>
      </w:tr>
      <w:tr w:rsidR="007E3C35" w:rsidRPr="00717151" w14:paraId="28793FBF" w14:textId="77777777" w:rsidTr="0077201D">
        <w:trPr>
          <w:trHeight w:val="510"/>
        </w:trPr>
        <w:tc>
          <w:tcPr>
            <w:tcW w:w="729" w:type="dxa"/>
          </w:tcPr>
          <w:p w14:paraId="2E72D7C6" w14:textId="1BD66998" w:rsidR="007E3C35" w:rsidRDefault="00DE0D1A" w:rsidP="007E3C35">
            <w:pPr>
              <w:rPr>
                <w:b/>
                <w:bCs/>
                <w:sz w:val="20"/>
                <w:szCs w:val="20"/>
              </w:rPr>
            </w:pPr>
            <w:r>
              <w:rPr>
                <w:b/>
                <w:bCs/>
                <w:sz w:val="20"/>
                <w:szCs w:val="20"/>
              </w:rPr>
              <w:t>53</w:t>
            </w:r>
          </w:p>
        </w:tc>
        <w:tc>
          <w:tcPr>
            <w:tcW w:w="708" w:type="dxa"/>
          </w:tcPr>
          <w:p w14:paraId="06CC8FFD" w14:textId="0B9D9C67" w:rsidR="007E3C35" w:rsidRPr="00A5371A" w:rsidRDefault="00DE0D1A" w:rsidP="007E3C35">
            <w:pPr>
              <w:rPr>
                <w:b/>
                <w:bCs/>
                <w:sz w:val="20"/>
                <w:szCs w:val="20"/>
              </w:rPr>
            </w:pPr>
            <w:r>
              <w:rPr>
                <w:b/>
                <w:bCs/>
                <w:sz w:val="20"/>
                <w:szCs w:val="20"/>
              </w:rPr>
              <w:t>2</w:t>
            </w:r>
          </w:p>
        </w:tc>
        <w:tc>
          <w:tcPr>
            <w:tcW w:w="708" w:type="dxa"/>
          </w:tcPr>
          <w:p w14:paraId="70BC9434" w14:textId="77777777" w:rsidR="007E3C35" w:rsidRPr="00A5371A" w:rsidRDefault="007E3C35" w:rsidP="007E3C35">
            <w:pPr>
              <w:rPr>
                <w:b/>
                <w:bCs/>
                <w:sz w:val="20"/>
                <w:szCs w:val="20"/>
              </w:rPr>
            </w:pPr>
          </w:p>
        </w:tc>
        <w:tc>
          <w:tcPr>
            <w:tcW w:w="6650" w:type="dxa"/>
          </w:tcPr>
          <w:p w14:paraId="0D8E910B" w14:textId="7F86A1C1" w:rsidR="007E3C35" w:rsidRPr="004D5964" w:rsidRDefault="00E42DB2" w:rsidP="00E42DB2">
            <w:pPr>
              <w:rPr>
                <w:sz w:val="21"/>
                <w:szCs w:val="21"/>
              </w:rPr>
            </w:pPr>
            <w:r>
              <w:rPr>
                <w:sz w:val="21"/>
                <w:szCs w:val="21"/>
              </w:rPr>
              <w:t xml:space="preserve">La livraison de produits cannabiques est interdite entre 22h et 6h du matin, comme cela est prévu pour les points de vente terrestres. Or, selon l’art. </w:t>
            </w:r>
            <w:r w:rsidRPr="00A71581">
              <w:rPr>
                <w:sz w:val="21"/>
                <w:szCs w:val="21"/>
              </w:rPr>
              <w:t>44 al 2,</w:t>
            </w:r>
            <w:r>
              <w:rPr>
                <w:sz w:val="21"/>
                <w:szCs w:val="21"/>
              </w:rPr>
              <w:t xml:space="preserve"> les cantons peuvent prolonger l’interdiction de vente nocturne. Dans la mesure où la vente en ligne vise à être subsidiaire à la vente terrestre, il serait adéquat que la livraison des produits cannabiques achetés en ligne ne soit pas possible pendant les heures d’interdiction de vente nocturne cantonales. Cela éviterait ainsi que les personnes ne contournent les interdictions de vente nocturne cantonales en achetant via le site internet. Le GREA </w:t>
            </w:r>
            <w:r>
              <w:rPr>
                <w:sz w:val="21"/>
                <w:szCs w:val="21"/>
              </w:rPr>
              <w:lastRenderedPageBreak/>
              <w:t>propose un nouvel alinéa 2 afin de donner la possibilité aux cantons de prolonger l’interdiction de livraison nocturne.</w:t>
            </w:r>
          </w:p>
        </w:tc>
        <w:tc>
          <w:tcPr>
            <w:tcW w:w="5517" w:type="dxa"/>
          </w:tcPr>
          <w:p w14:paraId="485C4628" w14:textId="2E0899DE" w:rsidR="006C7F08" w:rsidRPr="007D24E4" w:rsidRDefault="006C7F08" w:rsidP="006C7F08">
            <w:pPr>
              <w:pStyle w:val="Default"/>
              <w:rPr>
                <w:rFonts w:ascii="Arial" w:hAnsi="Arial" w:cs="Arial"/>
                <w:color w:val="auto"/>
                <w:sz w:val="21"/>
                <w:szCs w:val="21"/>
              </w:rPr>
            </w:pPr>
            <w:r w:rsidRPr="007D24E4">
              <w:rPr>
                <w:rFonts w:ascii="Arial" w:hAnsi="Arial" w:cs="Arial"/>
                <w:b/>
                <w:bCs/>
                <w:color w:val="auto"/>
                <w:sz w:val="21"/>
                <w:szCs w:val="21"/>
              </w:rPr>
              <w:lastRenderedPageBreak/>
              <w:t>Art. 53</w:t>
            </w:r>
            <w:r w:rsidRPr="007D24E4">
              <w:rPr>
                <w:rFonts w:ascii="Arial" w:hAnsi="Arial" w:cs="Arial"/>
                <w:color w:val="auto"/>
                <w:sz w:val="21"/>
                <w:szCs w:val="21"/>
              </w:rPr>
              <w:t xml:space="preserve"> Interdiction de livraison nocturne </w:t>
            </w:r>
          </w:p>
          <w:p w14:paraId="16FC48D9" w14:textId="77777777" w:rsidR="006C7F08" w:rsidRPr="007D24E4" w:rsidRDefault="006C7F08" w:rsidP="006C7F08">
            <w:pPr>
              <w:rPr>
                <w:sz w:val="21"/>
                <w:szCs w:val="21"/>
              </w:rPr>
            </w:pPr>
            <w:r w:rsidRPr="007D24E4">
              <w:rPr>
                <w:sz w:val="21"/>
                <w:szCs w:val="21"/>
                <w:vertAlign w:val="superscript"/>
              </w:rPr>
              <w:t>1</w:t>
            </w:r>
            <w:r w:rsidRPr="007D24E4">
              <w:rPr>
                <w:sz w:val="21"/>
                <w:szCs w:val="21"/>
              </w:rPr>
              <w:t xml:space="preserve"> La livraison de produits cannabiques est interdite entre 22 h et 6 h.</w:t>
            </w:r>
          </w:p>
          <w:p w14:paraId="315F1A1B" w14:textId="65B21D0B" w:rsidR="007E3C35" w:rsidRPr="007D24E4" w:rsidRDefault="006C7F08" w:rsidP="006C7F08">
            <w:pPr>
              <w:rPr>
                <w:b/>
                <w:bCs/>
                <w:sz w:val="21"/>
                <w:szCs w:val="21"/>
              </w:rPr>
            </w:pPr>
            <w:r w:rsidRPr="007D24E4">
              <w:rPr>
                <w:sz w:val="21"/>
                <w:szCs w:val="21"/>
                <w:vertAlign w:val="superscript"/>
              </w:rPr>
              <w:t>2</w:t>
            </w:r>
            <w:r w:rsidRPr="007D24E4">
              <w:rPr>
                <w:sz w:val="21"/>
                <w:szCs w:val="21"/>
              </w:rPr>
              <w:t xml:space="preserve"> </w:t>
            </w:r>
            <w:r w:rsidR="00D96DA3" w:rsidRPr="007D24E4">
              <w:rPr>
                <w:sz w:val="21"/>
                <w:szCs w:val="21"/>
              </w:rPr>
              <w:t xml:space="preserve">(nouveau) </w:t>
            </w:r>
            <w:r w:rsidRPr="007D24E4">
              <w:rPr>
                <w:sz w:val="21"/>
                <w:szCs w:val="21"/>
              </w:rPr>
              <w:t>Les cantons peuvent prolonger la durée de l’interdiction de livraison nocturne.</w:t>
            </w:r>
          </w:p>
        </w:tc>
      </w:tr>
      <w:tr w:rsidR="00184119" w:rsidRPr="00717151" w14:paraId="104EF0B6" w14:textId="77777777" w:rsidTr="0077201D">
        <w:trPr>
          <w:trHeight w:val="510"/>
        </w:trPr>
        <w:tc>
          <w:tcPr>
            <w:tcW w:w="729" w:type="dxa"/>
          </w:tcPr>
          <w:p w14:paraId="5DF6F39E" w14:textId="2B5428D9" w:rsidR="00184119" w:rsidRDefault="007E2D92" w:rsidP="007E3C35">
            <w:pPr>
              <w:rPr>
                <w:b/>
                <w:bCs/>
                <w:sz w:val="20"/>
                <w:szCs w:val="20"/>
              </w:rPr>
            </w:pPr>
            <w:r>
              <w:rPr>
                <w:b/>
                <w:bCs/>
                <w:sz w:val="20"/>
                <w:szCs w:val="20"/>
              </w:rPr>
              <w:t>53bis</w:t>
            </w:r>
          </w:p>
        </w:tc>
        <w:tc>
          <w:tcPr>
            <w:tcW w:w="708" w:type="dxa"/>
          </w:tcPr>
          <w:p w14:paraId="65ECD4FB" w14:textId="77777777" w:rsidR="00184119" w:rsidRDefault="00184119" w:rsidP="007E3C35">
            <w:pPr>
              <w:rPr>
                <w:b/>
                <w:bCs/>
                <w:sz w:val="20"/>
                <w:szCs w:val="20"/>
              </w:rPr>
            </w:pPr>
          </w:p>
        </w:tc>
        <w:tc>
          <w:tcPr>
            <w:tcW w:w="708" w:type="dxa"/>
          </w:tcPr>
          <w:p w14:paraId="49B38031" w14:textId="77777777" w:rsidR="00184119" w:rsidRPr="00A5371A" w:rsidRDefault="00184119" w:rsidP="007E3C35">
            <w:pPr>
              <w:rPr>
                <w:b/>
                <w:bCs/>
                <w:sz w:val="20"/>
                <w:szCs w:val="20"/>
              </w:rPr>
            </w:pPr>
          </w:p>
        </w:tc>
        <w:tc>
          <w:tcPr>
            <w:tcW w:w="6650" w:type="dxa"/>
          </w:tcPr>
          <w:p w14:paraId="0649BDEF" w14:textId="7CEEEA8F" w:rsidR="00184119" w:rsidRPr="00D35489" w:rsidRDefault="00D35489" w:rsidP="00E42DB2">
            <w:pPr>
              <w:rPr>
                <w:sz w:val="21"/>
                <w:szCs w:val="21"/>
              </w:rPr>
            </w:pPr>
            <w:r w:rsidRPr="00D35489">
              <w:rPr>
                <w:sz w:val="21"/>
                <w:szCs w:val="21"/>
              </w:rPr>
              <w:t>Nous recommandons d’ajouter une disposition permettant la réalisation d’achats test lors de la vente en ligne. Lorsqu’il s’agit de tester l’âge, l’usage d’une fausse identifiée doit être permise (nom et adresse nécessaire pour la livraison). La Confédération doit être responsable d’effectuer ces achats tests.</w:t>
            </w:r>
            <w:r w:rsidR="006723DD">
              <w:rPr>
                <w:sz w:val="21"/>
                <w:szCs w:val="21"/>
              </w:rPr>
              <w:t xml:space="preserve"> Il est possible de s’inspirer ici les dispositions prévues à l’art. 46.</w:t>
            </w:r>
          </w:p>
        </w:tc>
        <w:tc>
          <w:tcPr>
            <w:tcW w:w="5517" w:type="dxa"/>
          </w:tcPr>
          <w:p w14:paraId="04628086" w14:textId="77777777" w:rsidR="00184119" w:rsidRDefault="007E2D92" w:rsidP="006C7F08">
            <w:pPr>
              <w:pStyle w:val="Default"/>
              <w:rPr>
                <w:rFonts w:ascii="Arial" w:hAnsi="Arial" w:cs="Arial"/>
                <w:color w:val="auto"/>
                <w:sz w:val="21"/>
                <w:szCs w:val="21"/>
              </w:rPr>
            </w:pPr>
            <w:r>
              <w:rPr>
                <w:rFonts w:ascii="Arial" w:hAnsi="Arial" w:cs="Arial"/>
                <w:b/>
                <w:bCs/>
                <w:color w:val="auto"/>
                <w:sz w:val="21"/>
                <w:szCs w:val="21"/>
              </w:rPr>
              <w:t xml:space="preserve">Art. 53bis (nouveau) </w:t>
            </w:r>
            <w:r>
              <w:rPr>
                <w:rFonts w:ascii="Arial" w:hAnsi="Arial" w:cs="Arial"/>
                <w:color w:val="auto"/>
                <w:sz w:val="21"/>
                <w:szCs w:val="21"/>
              </w:rPr>
              <w:t>Achats-test en ligne</w:t>
            </w:r>
          </w:p>
          <w:p w14:paraId="7C850395" w14:textId="305FA001" w:rsidR="007E2D92" w:rsidRPr="007E2D92" w:rsidRDefault="007E2D92" w:rsidP="006C7F08">
            <w:pPr>
              <w:pStyle w:val="Default"/>
              <w:rPr>
                <w:rFonts w:ascii="Arial" w:hAnsi="Arial" w:cs="Arial"/>
                <w:i/>
                <w:iCs/>
                <w:color w:val="auto"/>
                <w:sz w:val="21"/>
                <w:szCs w:val="21"/>
              </w:rPr>
            </w:pPr>
            <w:r>
              <w:rPr>
                <w:rFonts w:ascii="Arial" w:hAnsi="Arial" w:cs="Arial"/>
                <w:i/>
                <w:iCs/>
                <w:color w:val="auto"/>
                <w:sz w:val="21"/>
                <w:szCs w:val="21"/>
              </w:rPr>
              <w:t>Reprendre ici les normes sur les achats-test de l’art</w:t>
            </w:r>
            <w:r w:rsidR="00D35489">
              <w:rPr>
                <w:rFonts w:ascii="Arial" w:hAnsi="Arial" w:cs="Arial"/>
                <w:i/>
                <w:iCs/>
                <w:color w:val="auto"/>
                <w:sz w:val="21"/>
                <w:szCs w:val="21"/>
              </w:rPr>
              <w:t>. 46</w:t>
            </w:r>
          </w:p>
          <w:p w14:paraId="56081D0A" w14:textId="0221A625" w:rsidR="007E2D92" w:rsidRPr="007E2D92" w:rsidRDefault="007E2D92" w:rsidP="006C7F08">
            <w:pPr>
              <w:pStyle w:val="Default"/>
              <w:rPr>
                <w:rFonts w:ascii="Arial" w:hAnsi="Arial" w:cs="Arial"/>
                <w:color w:val="auto"/>
                <w:sz w:val="21"/>
                <w:szCs w:val="21"/>
              </w:rPr>
            </w:pPr>
          </w:p>
        </w:tc>
      </w:tr>
      <w:tr w:rsidR="007E3C35" w:rsidRPr="00717151" w14:paraId="77822ACA" w14:textId="77777777" w:rsidTr="0077201D">
        <w:trPr>
          <w:trHeight w:val="510"/>
        </w:trPr>
        <w:tc>
          <w:tcPr>
            <w:tcW w:w="729" w:type="dxa"/>
          </w:tcPr>
          <w:p w14:paraId="178C7014" w14:textId="0E4E544A" w:rsidR="007E3C35" w:rsidRDefault="000441FB" w:rsidP="007E3C35">
            <w:pPr>
              <w:rPr>
                <w:b/>
                <w:bCs/>
                <w:sz w:val="20"/>
                <w:szCs w:val="20"/>
              </w:rPr>
            </w:pPr>
            <w:r>
              <w:rPr>
                <w:b/>
                <w:bCs/>
                <w:sz w:val="20"/>
                <w:szCs w:val="20"/>
              </w:rPr>
              <w:t>58 bis</w:t>
            </w:r>
          </w:p>
        </w:tc>
        <w:tc>
          <w:tcPr>
            <w:tcW w:w="708" w:type="dxa"/>
          </w:tcPr>
          <w:p w14:paraId="01B46DD6" w14:textId="77777777" w:rsidR="007E3C35" w:rsidRPr="00A5371A" w:rsidRDefault="007E3C35" w:rsidP="007E3C35">
            <w:pPr>
              <w:rPr>
                <w:b/>
                <w:bCs/>
                <w:sz w:val="20"/>
                <w:szCs w:val="20"/>
              </w:rPr>
            </w:pPr>
          </w:p>
        </w:tc>
        <w:tc>
          <w:tcPr>
            <w:tcW w:w="708" w:type="dxa"/>
          </w:tcPr>
          <w:p w14:paraId="01E6518F" w14:textId="77777777" w:rsidR="007E3C35" w:rsidRPr="00A5371A" w:rsidRDefault="007E3C35" w:rsidP="007E3C35">
            <w:pPr>
              <w:rPr>
                <w:b/>
                <w:bCs/>
                <w:sz w:val="20"/>
                <w:szCs w:val="20"/>
              </w:rPr>
            </w:pPr>
          </w:p>
        </w:tc>
        <w:tc>
          <w:tcPr>
            <w:tcW w:w="6650" w:type="dxa"/>
          </w:tcPr>
          <w:p w14:paraId="745E2973" w14:textId="77777777" w:rsidR="000156F5" w:rsidRDefault="000156F5" w:rsidP="000156F5">
            <w:pPr>
              <w:rPr>
                <w:sz w:val="21"/>
                <w:szCs w:val="21"/>
              </w:rPr>
            </w:pPr>
            <w:r>
              <w:rPr>
                <w:sz w:val="21"/>
                <w:szCs w:val="21"/>
              </w:rPr>
              <w:t xml:space="preserve">Le GREA propose la création d’un art. 58 bis qui permette de </w:t>
            </w:r>
            <w:r w:rsidRPr="000156F5">
              <w:rPr>
                <w:sz w:val="21"/>
                <w:szCs w:val="21"/>
                <w:u w:val="single"/>
              </w:rPr>
              <w:t>privilégier la production suisse face aux importations</w:t>
            </w:r>
            <w:r>
              <w:rPr>
                <w:sz w:val="21"/>
                <w:szCs w:val="21"/>
              </w:rPr>
              <w:t xml:space="preserve">. </w:t>
            </w:r>
            <w:r w:rsidRPr="0020270C">
              <w:rPr>
                <w:sz w:val="21"/>
                <w:szCs w:val="21"/>
              </w:rPr>
              <w:t xml:space="preserve">L'importation devient </w:t>
            </w:r>
            <w:r w:rsidRPr="00EE4A1B">
              <w:rPr>
                <w:sz w:val="21"/>
                <w:szCs w:val="21"/>
              </w:rPr>
              <w:t>subsidiaire</w:t>
            </w:r>
            <w:r w:rsidRPr="0020270C">
              <w:rPr>
                <w:sz w:val="21"/>
                <w:szCs w:val="21"/>
              </w:rPr>
              <w:t xml:space="preserve"> </w:t>
            </w:r>
            <w:r>
              <w:rPr>
                <w:sz w:val="21"/>
                <w:szCs w:val="21"/>
              </w:rPr>
              <w:t xml:space="preserve">et possible </w:t>
            </w:r>
            <w:r w:rsidRPr="0020270C">
              <w:rPr>
                <w:sz w:val="21"/>
                <w:szCs w:val="21"/>
              </w:rPr>
              <w:t>seulement en cas d'insuffisance prouvée. Cela évite les importations "de confort" qui expose</w:t>
            </w:r>
            <w:r>
              <w:rPr>
                <w:sz w:val="21"/>
                <w:szCs w:val="21"/>
              </w:rPr>
              <w:t>raie</w:t>
            </w:r>
            <w:r w:rsidRPr="0020270C">
              <w:rPr>
                <w:sz w:val="21"/>
                <w:szCs w:val="21"/>
              </w:rPr>
              <w:t xml:space="preserve">nt inutilement les </w:t>
            </w:r>
            <w:r>
              <w:rPr>
                <w:sz w:val="21"/>
                <w:szCs w:val="21"/>
              </w:rPr>
              <w:t xml:space="preserve">consommatrices et </w:t>
            </w:r>
            <w:r w:rsidRPr="0020270C">
              <w:rPr>
                <w:sz w:val="21"/>
                <w:szCs w:val="21"/>
              </w:rPr>
              <w:t>consommateurs à des risques de contamination externe.</w:t>
            </w:r>
            <w:r>
              <w:rPr>
                <w:sz w:val="21"/>
                <w:szCs w:val="21"/>
              </w:rPr>
              <w:t xml:space="preserve"> </w:t>
            </w:r>
            <w:r w:rsidRPr="00B001AE">
              <w:rPr>
                <w:sz w:val="21"/>
                <w:szCs w:val="21"/>
              </w:rPr>
              <w:t xml:space="preserve">Plus on privilégie le cannabis suisse, plus on maîtrise la traçabilité complète </w:t>
            </w:r>
            <w:r>
              <w:rPr>
                <w:sz w:val="21"/>
                <w:szCs w:val="21"/>
              </w:rPr>
              <w:t>des produits cannabiques, de la culture au produit transformé fini, ce qui est</w:t>
            </w:r>
            <w:r w:rsidRPr="00B001AE">
              <w:rPr>
                <w:sz w:val="21"/>
                <w:szCs w:val="21"/>
              </w:rPr>
              <w:t xml:space="preserve"> impossible avec des produits traversant plusieurs frontières et systèmes réglementaires</w:t>
            </w:r>
            <w:r>
              <w:rPr>
                <w:sz w:val="21"/>
                <w:szCs w:val="21"/>
              </w:rPr>
              <w:t xml:space="preserve">. </w:t>
            </w:r>
          </w:p>
          <w:p w14:paraId="7BD391DF" w14:textId="5B690BD9" w:rsidR="007E3C35" w:rsidRPr="004D5964" w:rsidRDefault="000156F5" w:rsidP="000156F5">
            <w:pPr>
              <w:rPr>
                <w:sz w:val="21"/>
                <w:szCs w:val="21"/>
              </w:rPr>
            </w:pPr>
            <w:r>
              <w:rPr>
                <w:sz w:val="21"/>
                <w:szCs w:val="21"/>
              </w:rPr>
              <w:t>Cette proposition s’inspire des règles d’importation de beurre, qui est contingentée.</w:t>
            </w:r>
          </w:p>
        </w:tc>
        <w:tc>
          <w:tcPr>
            <w:tcW w:w="5517" w:type="dxa"/>
          </w:tcPr>
          <w:p w14:paraId="3E23B875" w14:textId="762299F3" w:rsidR="0025692A" w:rsidRPr="007D24E4" w:rsidRDefault="0025692A" w:rsidP="0025692A">
            <w:pPr>
              <w:rPr>
                <w:sz w:val="21"/>
                <w:szCs w:val="21"/>
              </w:rPr>
            </w:pPr>
            <w:r w:rsidRPr="007D24E4">
              <w:rPr>
                <w:b/>
                <w:bCs/>
                <w:sz w:val="21"/>
                <w:szCs w:val="21"/>
              </w:rPr>
              <w:t>Art. 58bis</w:t>
            </w:r>
            <w:r w:rsidR="00E11098" w:rsidRPr="007D24E4">
              <w:rPr>
                <w:b/>
                <w:bCs/>
                <w:sz w:val="21"/>
                <w:szCs w:val="21"/>
              </w:rPr>
              <w:t xml:space="preserve"> (nouveau)</w:t>
            </w:r>
            <w:r w:rsidRPr="007D24E4">
              <w:rPr>
                <w:b/>
                <w:bCs/>
                <w:sz w:val="21"/>
                <w:szCs w:val="21"/>
              </w:rPr>
              <w:t xml:space="preserve"> </w:t>
            </w:r>
            <w:r w:rsidRPr="007D24E4">
              <w:rPr>
                <w:sz w:val="21"/>
                <w:szCs w:val="21"/>
              </w:rPr>
              <w:t>Priorité à la production suisse</w:t>
            </w:r>
          </w:p>
          <w:p w14:paraId="7B683C5D" w14:textId="77777777" w:rsidR="0025692A" w:rsidRPr="007D24E4" w:rsidRDefault="0025692A" w:rsidP="0025692A">
            <w:pPr>
              <w:rPr>
                <w:sz w:val="21"/>
                <w:szCs w:val="21"/>
              </w:rPr>
            </w:pPr>
            <w:r w:rsidRPr="007D24E4">
              <w:rPr>
                <w:sz w:val="21"/>
                <w:szCs w:val="21"/>
                <w:vertAlign w:val="superscript"/>
              </w:rPr>
              <w:t>1</w:t>
            </w:r>
            <w:r w:rsidRPr="007D24E4">
              <w:rPr>
                <w:sz w:val="21"/>
                <w:szCs w:val="21"/>
              </w:rPr>
              <w:t xml:space="preserve"> L'importation de matériel initial et de produits cannabiques n'est autorisée que si l'offre suisse est quantitativement ou qualitativement insuffisante pour répondre à la demande nationale.</w:t>
            </w:r>
          </w:p>
          <w:p w14:paraId="68E0B026" w14:textId="77777777" w:rsidR="0025692A" w:rsidRPr="007D24E4" w:rsidRDefault="0025692A" w:rsidP="0025692A">
            <w:pPr>
              <w:rPr>
                <w:sz w:val="21"/>
                <w:szCs w:val="21"/>
              </w:rPr>
            </w:pPr>
            <w:r w:rsidRPr="007D24E4">
              <w:rPr>
                <w:sz w:val="21"/>
                <w:szCs w:val="21"/>
                <w:vertAlign w:val="superscript"/>
              </w:rPr>
              <w:t>2</w:t>
            </w:r>
            <w:r w:rsidRPr="007D24E4">
              <w:rPr>
                <w:sz w:val="21"/>
                <w:szCs w:val="21"/>
              </w:rPr>
              <w:t xml:space="preserve"> La Confédération évalue semestriellement les besoins du marché suisse et la capacité de production nationale.</w:t>
            </w:r>
          </w:p>
          <w:p w14:paraId="7E900E51" w14:textId="0ED27F18" w:rsidR="007E3C35" w:rsidRPr="007D24E4" w:rsidRDefault="0025692A" w:rsidP="0025692A">
            <w:pPr>
              <w:rPr>
                <w:b/>
                <w:bCs/>
                <w:sz w:val="21"/>
                <w:szCs w:val="21"/>
              </w:rPr>
            </w:pPr>
            <w:r w:rsidRPr="007D24E4">
              <w:rPr>
                <w:sz w:val="21"/>
                <w:szCs w:val="21"/>
                <w:vertAlign w:val="superscript"/>
              </w:rPr>
              <w:t>3</w:t>
            </w:r>
            <w:r w:rsidRPr="007D24E4">
              <w:rPr>
                <w:sz w:val="21"/>
                <w:szCs w:val="21"/>
              </w:rPr>
              <w:t xml:space="preserve"> Les autorisations d'importation sont accordées uniquement pour les quantités nécessaires à compléter l'offre suisse, selon le principe du contingentement.</w:t>
            </w:r>
          </w:p>
        </w:tc>
      </w:tr>
      <w:tr w:rsidR="007E3C35" w:rsidRPr="00717151" w14:paraId="7B9CCB48" w14:textId="77777777" w:rsidTr="0077201D">
        <w:trPr>
          <w:trHeight w:val="510"/>
        </w:trPr>
        <w:tc>
          <w:tcPr>
            <w:tcW w:w="729" w:type="dxa"/>
          </w:tcPr>
          <w:p w14:paraId="7FFCF4A8" w14:textId="33B0BAFB" w:rsidR="007E3C35" w:rsidRDefault="00F4775F" w:rsidP="007E3C35">
            <w:pPr>
              <w:rPr>
                <w:b/>
                <w:bCs/>
                <w:sz w:val="20"/>
                <w:szCs w:val="20"/>
              </w:rPr>
            </w:pPr>
            <w:r>
              <w:rPr>
                <w:b/>
                <w:bCs/>
                <w:sz w:val="20"/>
                <w:szCs w:val="20"/>
              </w:rPr>
              <w:t>60</w:t>
            </w:r>
          </w:p>
        </w:tc>
        <w:tc>
          <w:tcPr>
            <w:tcW w:w="708" w:type="dxa"/>
          </w:tcPr>
          <w:p w14:paraId="2642DAE7" w14:textId="1E01F279" w:rsidR="007E3C35" w:rsidRPr="00A5371A" w:rsidRDefault="00F4775F" w:rsidP="007E3C35">
            <w:pPr>
              <w:rPr>
                <w:b/>
                <w:bCs/>
                <w:sz w:val="20"/>
                <w:szCs w:val="20"/>
              </w:rPr>
            </w:pPr>
            <w:r>
              <w:rPr>
                <w:b/>
                <w:bCs/>
                <w:sz w:val="20"/>
                <w:szCs w:val="20"/>
              </w:rPr>
              <w:t>5</w:t>
            </w:r>
          </w:p>
        </w:tc>
        <w:tc>
          <w:tcPr>
            <w:tcW w:w="708" w:type="dxa"/>
          </w:tcPr>
          <w:p w14:paraId="6DD48BC9" w14:textId="77777777" w:rsidR="007E3C35" w:rsidRPr="00A5371A" w:rsidRDefault="007E3C35" w:rsidP="007E3C35">
            <w:pPr>
              <w:rPr>
                <w:b/>
                <w:bCs/>
                <w:sz w:val="20"/>
                <w:szCs w:val="20"/>
              </w:rPr>
            </w:pPr>
          </w:p>
        </w:tc>
        <w:tc>
          <w:tcPr>
            <w:tcW w:w="6650" w:type="dxa"/>
          </w:tcPr>
          <w:p w14:paraId="71C613A2" w14:textId="3FCAC489" w:rsidR="00FA3915" w:rsidRDefault="00FA3915" w:rsidP="00FA3915">
            <w:pPr>
              <w:rPr>
                <w:sz w:val="21"/>
                <w:szCs w:val="21"/>
              </w:rPr>
            </w:pPr>
            <w:r>
              <w:rPr>
                <w:sz w:val="21"/>
                <w:szCs w:val="21"/>
              </w:rPr>
              <w:t xml:space="preserve">Dans le sens de la limitation des importations pour protéger la fabrication suisse et la sécurité des produits, le GREA propose un nouvel al. 5 à l’art. 60 pour restreindre les possibilités d’autorisation d’importation. </w:t>
            </w:r>
          </w:p>
          <w:p w14:paraId="0E037CE2" w14:textId="719D7BCE" w:rsidR="007E3C35" w:rsidRPr="004D5964" w:rsidRDefault="00FA3915" w:rsidP="00FA3915">
            <w:pPr>
              <w:rPr>
                <w:sz w:val="21"/>
                <w:szCs w:val="21"/>
              </w:rPr>
            </w:pPr>
            <w:r w:rsidRPr="00D15245">
              <w:rPr>
                <w:sz w:val="21"/>
                <w:szCs w:val="21"/>
              </w:rPr>
              <w:t xml:space="preserve">Cet amendement </w:t>
            </w:r>
            <w:r>
              <w:rPr>
                <w:sz w:val="21"/>
                <w:szCs w:val="21"/>
              </w:rPr>
              <w:t>demande</w:t>
            </w:r>
            <w:r w:rsidRPr="00D15245">
              <w:rPr>
                <w:sz w:val="21"/>
                <w:szCs w:val="21"/>
              </w:rPr>
              <w:t xml:space="preserve"> </w:t>
            </w:r>
            <w:r>
              <w:rPr>
                <w:sz w:val="21"/>
                <w:szCs w:val="21"/>
              </w:rPr>
              <w:t xml:space="preserve">à </w:t>
            </w:r>
            <w:r w:rsidRPr="00D15245">
              <w:rPr>
                <w:sz w:val="21"/>
                <w:szCs w:val="21"/>
              </w:rPr>
              <w:t xml:space="preserve">l'importateur de </w:t>
            </w:r>
            <w:r w:rsidRPr="0083189F">
              <w:rPr>
                <w:sz w:val="21"/>
                <w:szCs w:val="21"/>
              </w:rPr>
              <w:t xml:space="preserve">prouver </w:t>
            </w:r>
            <w:r w:rsidRPr="00D15245">
              <w:rPr>
                <w:sz w:val="21"/>
                <w:szCs w:val="21"/>
              </w:rPr>
              <w:t>la nécessité et la sécurité de son importation.</w:t>
            </w:r>
            <w:r>
              <w:rPr>
                <w:sz w:val="21"/>
                <w:szCs w:val="21"/>
              </w:rPr>
              <w:t xml:space="preserve"> </w:t>
            </w:r>
            <w:r w:rsidRPr="001800B9">
              <w:rPr>
                <w:sz w:val="21"/>
                <w:szCs w:val="21"/>
              </w:rPr>
              <w:t xml:space="preserve">Chaque étape depuis </w:t>
            </w:r>
            <w:r>
              <w:rPr>
                <w:sz w:val="21"/>
                <w:szCs w:val="21"/>
              </w:rPr>
              <w:t>la culture/production</w:t>
            </w:r>
            <w:r w:rsidRPr="001800B9">
              <w:rPr>
                <w:sz w:val="21"/>
                <w:szCs w:val="21"/>
              </w:rPr>
              <w:t xml:space="preserve"> étrangère doit être documentée et l'absence de substances interdites (néo-cannabinoïdes, pesticides dangereux) certifiée par analyses indépendantes</w:t>
            </w:r>
            <w:r>
              <w:rPr>
                <w:sz w:val="21"/>
                <w:szCs w:val="21"/>
              </w:rPr>
              <w:t xml:space="preserve">. </w:t>
            </w:r>
            <w:r w:rsidRPr="001800B9">
              <w:rPr>
                <w:sz w:val="21"/>
                <w:szCs w:val="21"/>
              </w:rPr>
              <w:t xml:space="preserve">Ces exigences strictes rendent l'importation plus coûteuse et complexe, incitant naturellement </w:t>
            </w:r>
            <w:r>
              <w:rPr>
                <w:sz w:val="21"/>
                <w:szCs w:val="21"/>
              </w:rPr>
              <w:t>les titulaires d’autorisation de fabrication et de vente à se tourner vers des produits cannabiques suisses</w:t>
            </w:r>
            <w:r w:rsidRPr="001800B9">
              <w:rPr>
                <w:sz w:val="21"/>
                <w:szCs w:val="21"/>
              </w:rPr>
              <w:t>.</w:t>
            </w:r>
          </w:p>
        </w:tc>
        <w:tc>
          <w:tcPr>
            <w:tcW w:w="5517" w:type="dxa"/>
          </w:tcPr>
          <w:p w14:paraId="3A8FF4FF" w14:textId="77777777" w:rsidR="00E11098" w:rsidRDefault="00E11098" w:rsidP="00E11098">
            <w:pPr>
              <w:rPr>
                <w:b/>
                <w:bCs/>
                <w:sz w:val="21"/>
                <w:szCs w:val="21"/>
              </w:rPr>
            </w:pPr>
            <w:r w:rsidRPr="00680E73">
              <w:rPr>
                <w:b/>
                <w:bCs/>
                <w:sz w:val="21"/>
                <w:szCs w:val="21"/>
              </w:rPr>
              <w:t>Art. 60</w:t>
            </w:r>
            <w:r>
              <w:rPr>
                <w:b/>
                <w:bCs/>
                <w:sz w:val="21"/>
                <w:szCs w:val="21"/>
              </w:rPr>
              <w:t xml:space="preserve"> </w:t>
            </w:r>
            <w:r w:rsidRPr="008E7648">
              <w:rPr>
                <w:sz w:val="21"/>
                <w:szCs w:val="21"/>
              </w:rPr>
              <w:t>Conditions d’autorisation et obligations du titulaire de l’autorisation</w:t>
            </w:r>
          </w:p>
          <w:p w14:paraId="2F261799" w14:textId="77777777" w:rsidR="00E11098" w:rsidRPr="007D24E4" w:rsidRDefault="00E11098" w:rsidP="00E11098">
            <w:pPr>
              <w:rPr>
                <w:sz w:val="21"/>
                <w:szCs w:val="21"/>
              </w:rPr>
            </w:pPr>
          </w:p>
          <w:p w14:paraId="5BCCA54E" w14:textId="0666E19B" w:rsidR="00E11098" w:rsidRPr="007D24E4" w:rsidRDefault="00E11098" w:rsidP="00E11098">
            <w:pPr>
              <w:rPr>
                <w:sz w:val="21"/>
                <w:szCs w:val="21"/>
              </w:rPr>
            </w:pPr>
            <w:r w:rsidRPr="007D24E4">
              <w:rPr>
                <w:sz w:val="21"/>
                <w:szCs w:val="21"/>
                <w:vertAlign w:val="superscript"/>
              </w:rPr>
              <w:t>5</w:t>
            </w:r>
            <w:r w:rsidRPr="007D24E4">
              <w:rPr>
                <w:sz w:val="21"/>
                <w:szCs w:val="21"/>
              </w:rPr>
              <w:t xml:space="preserve"> (nouveau) L'autorisation d'importation n'est accordée que si le requérant démontre :</w:t>
            </w:r>
          </w:p>
          <w:p w14:paraId="54EE93E6" w14:textId="77777777" w:rsidR="00E11098" w:rsidRPr="007D24E4" w:rsidRDefault="00E11098" w:rsidP="00335B8A">
            <w:pPr>
              <w:ind w:left="311"/>
              <w:rPr>
                <w:sz w:val="21"/>
                <w:szCs w:val="21"/>
              </w:rPr>
            </w:pPr>
            <w:r w:rsidRPr="007D24E4">
              <w:rPr>
                <w:sz w:val="21"/>
                <w:szCs w:val="21"/>
              </w:rPr>
              <w:t>a. l'impossibilité d'obtenir un produit équivalent produit en Suisse</w:t>
            </w:r>
          </w:p>
          <w:p w14:paraId="36DA9BEE" w14:textId="5FACD457" w:rsidR="007E3C35" w:rsidRPr="005F234C" w:rsidRDefault="00E11098" w:rsidP="00335B8A">
            <w:pPr>
              <w:ind w:left="311"/>
              <w:rPr>
                <w:b/>
                <w:bCs/>
                <w:sz w:val="21"/>
                <w:szCs w:val="21"/>
              </w:rPr>
            </w:pPr>
            <w:r w:rsidRPr="007D24E4">
              <w:rPr>
                <w:sz w:val="21"/>
                <w:szCs w:val="21"/>
              </w:rPr>
              <w:t>b. la traçabilité complète du produit depuis l'origine</w:t>
            </w:r>
          </w:p>
        </w:tc>
      </w:tr>
      <w:tr w:rsidR="007E3C35" w:rsidRPr="00717151" w14:paraId="20695402" w14:textId="77777777" w:rsidTr="0077201D">
        <w:trPr>
          <w:trHeight w:val="510"/>
        </w:trPr>
        <w:tc>
          <w:tcPr>
            <w:tcW w:w="729" w:type="dxa"/>
          </w:tcPr>
          <w:p w14:paraId="61C7C19B" w14:textId="77777777" w:rsidR="007E3C35" w:rsidRDefault="007E3C35" w:rsidP="007E3C35">
            <w:pPr>
              <w:rPr>
                <w:b/>
                <w:bCs/>
                <w:sz w:val="20"/>
                <w:szCs w:val="20"/>
              </w:rPr>
            </w:pPr>
          </w:p>
        </w:tc>
        <w:tc>
          <w:tcPr>
            <w:tcW w:w="708" w:type="dxa"/>
          </w:tcPr>
          <w:p w14:paraId="475B41DB" w14:textId="77777777" w:rsidR="007E3C35" w:rsidRPr="00A5371A" w:rsidRDefault="007E3C35" w:rsidP="007E3C35">
            <w:pPr>
              <w:rPr>
                <w:b/>
                <w:bCs/>
                <w:sz w:val="20"/>
                <w:szCs w:val="20"/>
              </w:rPr>
            </w:pPr>
          </w:p>
        </w:tc>
        <w:tc>
          <w:tcPr>
            <w:tcW w:w="708" w:type="dxa"/>
          </w:tcPr>
          <w:p w14:paraId="12FA53A4" w14:textId="77777777" w:rsidR="007E3C35" w:rsidRPr="00A5371A" w:rsidRDefault="007E3C35" w:rsidP="007E3C35">
            <w:pPr>
              <w:rPr>
                <w:b/>
                <w:bCs/>
                <w:sz w:val="20"/>
                <w:szCs w:val="20"/>
              </w:rPr>
            </w:pPr>
          </w:p>
        </w:tc>
        <w:tc>
          <w:tcPr>
            <w:tcW w:w="6650" w:type="dxa"/>
          </w:tcPr>
          <w:p w14:paraId="478D6944" w14:textId="77777777" w:rsidR="007E3C35" w:rsidRDefault="00767DE8" w:rsidP="007E3C35">
            <w:pPr>
              <w:rPr>
                <w:b/>
                <w:bCs/>
                <w:sz w:val="21"/>
                <w:szCs w:val="21"/>
              </w:rPr>
            </w:pPr>
            <w:r>
              <w:rPr>
                <w:b/>
                <w:bCs/>
                <w:sz w:val="21"/>
                <w:szCs w:val="21"/>
              </w:rPr>
              <w:t>Chapitre 7</w:t>
            </w:r>
          </w:p>
          <w:p w14:paraId="14250109" w14:textId="77777777" w:rsidR="009817EF" w:rsidRDefault="009817EF" w:rsidP="009817EF">
            <w:pPr>
              <w:rPr>
                <w:sz w:val="21"/>
                <w:szCs w:val="21"/>
              </w:rPr>
            </w:pPr>
            <w:r>
              <w:rPr>
                <w:sz w:val="21"/>
                <w:szCs w:val="21"/>
              </w:rPr>
              <w:lastRenderedPageBreak/>
              <w:t xml:space="preserve">Une minorité de la commission demande de revoir l’avant-projet afin de soumettre les produits cannabiques à un impôt et non une taxe d’incitation. L’impôt devrait être conçu de manière analogue à l’impôt sur le tabac. </w:t>
            </w:r>
          </w:p>
          <w:p w14:paraId="28676F54" w14:textId="6AA5664C" w:rsidR="00767DE8" w:rsidRPr="00767DE8" w:rsidRDefault="009817EF" w:rsidP="009817EF">
            <w:pPr>
              <w:rPr>
                <w:sz w:val="21"/>
                <w:szCs w:val="21"/>
              </w:rPr>
            </w:pPr>
            <w:r>
              <w:rPr>
                <w:sz w:val="21"/>
                <w:szCs w:val="21"/>
              </w:rPr>
              <w:t>Pour le GREA, cette proposition de la minorité n’est pas nécessaire. L’introduction d’un impôt compromettrait la régulation du cannabis en exigeant une modification de la Constitution. La solution trouvée via la taxe d’incitation, les indemnités d’exécution, les émoluments et l’affectation des bénéfices excédentaires est satisfaisante : elle devrait permettre de couvrir les frais liés à l’exécution de la loi tout en assurant des revenus pour les mesures de prévention, de réduction des risques et de lutte contre les addictions. Le GREA s’oppose donc à la proposition de la minorité.</w:t>
            </w:r>
          </w:p>
        </w:tc>
        <w:tc>
          <w:tcPr>
            <w:tcW w:w="5517" w:type="dxa"/>
          </w:tcPr>
          <w:p w14:paraId="2326BE90" w14:textId="5E1CC254" w:rsidR="007E3C35" w:rsidRPr="00801089" w:rsidRDefault="00801089" w:rsidP="007E3C35">
            <w:pPr>
              <w:rPr>
                <w:sz w:val="21"/>
                <w:szCs w:val="21"/>
              </w:rPr>
            </w:pPr>
            <w:r w:rsidRPr="00801089">
              <w:rPr>
                <w:sz w:val="21"/>
                <w:szCs w:val="21"/>
              </w:rPr>
              <w:lastRenderedPageBreak/>
              <w:t>Refus de la proposition de minorité</w:t>
            </w:r>
          </w:p>
        </w:tc>
      </w:tr>
      <w:tr w:rsidR="00FC057C" w:rsidRPr="00717151" w14:paraId="5BA9ACA4" w14:textId="77777777" w:rsidTr="0077201D">
        <w:trPr>
          <w:trHeight w:val="510"/>
        </w:trPr>
        <w:tc>
          <w:tcPr>
            <w:tcW w:w="729" w:type="dxa"/>
          </w:tcPr>
          <w:p w14:paraId="4B6A5943" w14:textId="37E3F120" w:rsidR="00FC057C" w:rsidRDefault="00744E97" w:rsidP="007E3C35">
            <w:pPr>
              <w:rPr>
                <w:b/>
                <w:bCs/>
                <w:sz w:val="20"/>
                <w:szCs w:val="20"/>
              </w:rPr>
            </w:pPr>
            <w:r>
              <w:rPr>
                <w:b/>
                <w:bCs/>
                <w:sz w:val="20"/>
                <w:szCs w:val="20"/>
              </w:rPr>
              <w:t>62 et 63</w:t>
            </w:r>
          </w:p>
        </w:tc>
        <w:tc>
          <w:tcPr>
            <w:tcW w:w="708" w:type="dxa"/>
          </w:tcPr>
          <w:p w14:paraId="49EF3F2C" w14:textId="77777777" w:rsidR="00FC057C" w:rsidRPr="00A5371A" w:rsidRDefault="00FC057C" w:rsidP="007E3C35">
            <w:pPr>
              <w:rPr>
                <w:b/>
                <w:bCs/>
                <w:sz w:val="20"/>
                <w:szCs w:val="20"/>
              </w:rPr>
            </w:pPr>
          </w:p>
        </w:tc>
        <w:tc>
          <w:tcPr>
            <w:tcW w:w="708" w:type="dxa"/>
          </w:tcPr>
          <w:p w14:paraId="7A576109" w14:textId="77777777" w:rsidR="00FC057C" w:rsidRPr="00A5371A" w:rsidRDefault="00FC057C" w:rsidP="007E3C35">
            <w:pPr>
              <w:rPr>
                <w:b/>
                <w:bCs/>
                <w:sz w:val="20"/>
                <w:szCs w:val="20"/>
              </w:rPr>
            </w:pPr>
          </w:p>
        </w:tc>
        <w:tc>
          <w:tcPr>
            <w:tcW w:w="6650" w:type="dxa"/>
          </w:tcPr>
          <w:p w14:paraId="66F78D0B" w14:textId="77777777" w:rsidR="00744E97" w:rsidRPr="00744E97" w:rsidRDefault="00744E97" w:rsidP="00744E97">
            <w:pPr>
              <w:rPr>
                <w:b/>
                <w:bCs/>
                <w:sz w:val="21"/>
                <w:szCs w:val="21"/>
              </w:rPr>
            </w:pPr>
            <w:r w:rsidRPr="00744E97">
              <w:rPr>
                <w:b/>
                <w:bCs/>
                <w:sz w:val="21"/>
                <w:szCs w:val="21"/>
              </w:rPr>
              <w:t>Chapitre 7 - Taxe d'incitation</w:t>
            </w:r>
          </w:p>
          <w:p w14:paraId="41EACEDD" w14:textId="77777777" w:rsidR="00744E97" w:rsidRDefault="00744E97" w:rsidP="00744E97">
            <w:pPr>
              <w:rPr>
                <w:b/>
                <w:bCs/>
                <w:sz w:val="21"/>
                <w:szCs w:val="21"/>
              </w:rPr>
            </w:pPr>
            <w:r w:rsidRPr="00744E97">
              <w:rPr>
                <w:b/>
                <w:bCs/>
                <w:sz w:val="21"/>
                <w:szCs w:val="21"/>
              </w:rPr>
              <w:t>Remarque générale sur les articles 62 et 63</w:t>
            </w:r>
          </w:p>
          <w:p w14:paraId="55D223E0" w14:textId="77777777" w:rsidR="00744E97" w:rsidRPr="00744E97" w:rsidRDefault="00744E97" w:rsidP="00744E97">
            <w:pPr>
              <w:rPr>
                <w:b/>
                <w:bCs/>
                <w:sz w:val="21"/>
                <w:szCs w:val="21"/>
              </w:rPr>
            </w:pPr>
          </w:p>
          <w:p w14:paraId="680ED564" w14:textId="3E948EC1" w:rsidR="00744E97" w:rsidRDefault="00744E97" w:rsidP="00744E97">
            <w:pPr>
              <w:jc w:val="both"/>
              <w:rPr>
                <w:sz w:val="21"/>
                <w:szCs w:val="21"/>
              </w:rPr>
            </w:pPr>
            <w:r w:rsidRPr="00744E97">
              <w:rPr>
                <w:sz w:val="21"/>
                <w:szCs w:val="21"/>
              </w:rPr>
              <w:t xml:space="preserve">Le GREA soutient le principe d'une taxe d'incitation sur les produits cannabiques et peut accepter qu'elle soit redistribuée à la population via l'assurance-maladie. Toutefois, le GREA exprime de vives préoccupations quant au niveau des taxes proposé et à la dynamique qu'il engendre, qui risque de compromettre </w:t>
            </w:r>
            <w:r>
              <w:rPr>
                <w:sz w:val="21"/>
                <w:szCs w:val="21"/>
              </w:rPr>
              <w:t xml:space="preserve">un </w:t>
            </w:r>
            <w:proofErr w:type="gramStart"/>
            <w:r>
              <w:rPr>
                <w:sz w:val="21"/>
                <w:szCs w:val="21"/>
              </w:rPr>
              <w:t xml:space="preserve">des </w:t>
            </w:r>
            <w:r w:rsidRPr="00744E97">
              <w:rPr>
                <w:sz w:val="21"/>
                <w:szCs w:val="21"/>
              </w:rPr>
              <w:t xml:space="preserve">objectif </w:t>
            </w:r>
            <w:r w:rsidR="00E16A29">
              <w:rPr>
                <w:sz w:val="21"/>
                <w:szCs w:val="21"/>
              </w:rPr>
              <w:t>indirect</w:t>
            </w:r>
            <w:proofErr w:type="gramEnd"/>
            <w:r w:rsidR="00E16A29">
              <w:rPr>
                <w:sz w:val="21"/>
                <w:szCs w:val="21"/>
              </w:rPr>
              <w:t xml:space="preserve"> </w:t>
            </w:r>
            <w:r w:rsidRPr="00744E97">
              <w:rPr>
                <w:sz w:val="21"/>
                <w:szCs w:val="21"/>
              </w:rPr>
              <w:t>central de la loi : rediriger les consommateurs et consommatrices du marché illégal vers le marché régulé.</w:t>
            </w:r>
          </w:p>
          <w:p w14:paraId="0509A2BB" w14:textId="77777777" w:rsidR="00744E97" w:rsidRPr="00744E97" w:rsidRDefault="00744E97" w:rsidP="00744E97">
            <w:pPr>
              <w:jc w:val="both"/>
              <w:rPr>
                <w:sz w:val="21"/>
                <w:szCs w:val="21"/>
              </w:rPr>
            </w:pPr>
          </w:p>
          <w:p w14:paraId="1C1D46C1" w14:textId="6D733E75" w:rsidR="00744E97" w:rsidRDefault="00744E97" w:rsidP="00744E97">
            <w:pPr>
              <w:jc w:val="both"/>
              <w:rPr>
                <w:sz w:val="21"/>
                <w:szCs w:val="21"/>
              </w:rPr>
            </w:pPr>
            <w:r w:rsidRPr="00E16A29">
              <w:rPr>
                <w:b/>
                <w:bCs/>
                <w:sz w:val="21"/>
                <w:szCs w:val="21"/>
              </w:rPr>
              <w:t>Le risque d'un prix final trop élevé</w:t>
            </w:r>
            <w:r w:rsidRPr="00744E97">
              <w:rPr>
                <w:sz w:val="21"/>
                <w:szCs w:val="21"/>
              </w:rPr>
              <w:t xml:space="preserve"> : </w:t>
            </w:r>
            <w:r w:rsidR="00E16A29">
              <w:rPr>
                <w:sz w:val="21"/>
                <w:szCs w:val="21"/>
              </w:rPr>
              <w:t>s</w:t>
            </w:r>
            <w:r w:rsidRPr="00744E97">
              <w:rPr>
                <w:sz w:val="21"/>
                <w:szCs w:val="21"/>
              </w:rPr>
              <w:t>i le prix n'est pas le seul facteur de redirection vers le marché légal (la légalité, la qualité contrôlée des produits et la traçabilité jouent également un rôle important), il reste néanmoins déterminant. Or, l'accumulation des différentes taxes et émoluments prévus par le projet de loi (émoluments fédéraux, taxe de surveillance cantonale, émoluments cantonaux, taxe d'incitation) conduit à des prix finaux irréalistes qui ne permettront pas de concurrencer efficacement le marché illégal.</w:t>
            </w:r>
          </w:p>
          <w:p w14:paraId="013114B2" w14:textId="77777777" w:rsidR="00E16A29" w:rsidRPr="00744E97" w:rsidRDefault="00E16A29" w:rsidP="00744E97">
            <w:pPr>
              <w:jc w:val="both"/>
              <w:rPr>
                <w:sz w:val="21"/>
                <w:szCs w:val="21"/>
              </w:rPr>
            </w:pPr>
          </w:p>
          <w:p w14:paraId="2A302365" w14:textId="77777777" w:rsidR="00744E97" w:rsidRDefault="00744E97" w:rsidP="00744E97">
            <w:pPr>
              <w:jc w:val="both"/>
              <w:rPr>
                <w:sz w:val="21"/>
                <w:szCs w:val="21"/>
              </w:rPr>
            </w:pPr>
            <w:r w:rsidRPr="00744E97">
              <w:rPr>
                <w:sz w:val="21"/>
                <w:szCs w:val="21"/>
              </w:rPr>
              <w:lastRenderedPageBreak/>
              <w:t xml:space="preserve">Le rapport explicatif lui-même le démontre (page 123) : « </w:t>
            </w:r>
            <w:r w:rsidRPr="00E16A29">
              <w:rPr>
                <w:i/>
                <w:iCs/>
                <w:sz w:val="21"/>
                <w:szCs w:val="21"/>
              </w:rPr>
              <w:t>un gramme de fleur de cannabis ayant un coût net de 4,00 francs arrive au prix brut de 10,05 francs dans la catégorie la moins dosée en THC (50 milligrammes). Ce prix brut augmente avec le dosage en THC pour atteindre 17,50 francs avec 200 milligrammes de THC</w:t>
            </w:r>
            <w:r w:rsidRPr="00744E97">
              <w:rPr>
                <w:sz w:val="21"/>
                <w:szCs w:val="21"/>
              </w:rPr>
              <w:t xml:space="preserve"> ». De tels prix sont considérablement supérieurs à ceux du marché illégal actuel et risquent de maintenir, voire d'étendre, ce dernier plutôt que de l'assécher.</w:t>
            </w:r>
          </w:p>
          <w:p w14:paraId="401EF0A0" w14:textId="77777777" w:rsidR="00E16A29" w:rsidRPr="00744E97" w:rsidRDefault="00E16A29" w:rsidP="00744E97">
            <w:pPr>
              <w:jc w:val="both"/>
              <w:rPr>
                <w:sz w:val="21"/>
                <w:szCs w:val="21"/>
              </w:rPr>
            </w:pPr>
          </w:p>
          <w:p w14:paraId="05327F3F" w14:textId="716D6708" w:rsidR="00FC057C" w:rsidRPr="00366649" w:rsidRDefault="00366649" w:rsidP="00744E97">
            <w:pPr>
              <w:jc w:val="both"/>
              <w:rPr>
                <w:sz w:val="21"/>
                <w:szCs w:val="21"/>
              </w:rPr>
            </w:pPr>
            <w:r>
              <w:rPr>
                <w:b/>
                <w:bCs/>
                <w:sz w:val="21"/>
                <w:szCs w:val="21"/>
              </w:rPr>
              <w:t>Une taxation asymétrique</w:t>
            </w:r>
            <w:r w:rsidR="00744E97" w:rsidRPr="00744E97">
              <w:rPr>
                <w:sz w:val="21"/>
                <w:szCs w:val="21"/>
              </w:rPr>
              <w:t xml:space="preserve"> : </w:t>
            </w:r>
            <w:r>
              <w:rPr>
                <w:sz w:val="21"/>
                <w:szCs w:val="21"/>
              </w:rPr>
              <w:t>l</w:t>
            </w:r>
            <w:r w:rsidR="0058323C">
              <w:rPr>
                <w:sz w:val="21"/>
                <w:szCs w:val="21"/>
              </w:rPr>
              <w:t>’</w:t>
            </w:r>
            <w:r w:rsidR="00744E97" w:rsidRPr="00744E97">
              <w:rPr>
                <w:sz w:val="21"/>
                <w:szCs w:val="21"/>
              </w:rPr>
              <w:t xml:space="preserve">article 63 al. 4 crée une dynamique asymétrique problématique. D'un côté, il oblige le Conseil fédéral à augmenter les taux de taxation si les objectifs d'incitation fixés à l'article 62 ne sont pas atteints (« </w:t>
            </w:r>
            <w:r w:rsidR="00744E97" w:rsidRPr="00F87F75">
              <w:rPr>
                <w:i/>
                <w:iCs/>
                <w:sz w:val="21"/>
                <w:szCs w:val="21"/>
              </w:rPr>
              <w:t>Il les augmente si les objectifs d'incitation ou les objectifs intermédiaires ne sont pas atteints</w:t>
            </w:r>
            <w:r w:rsidR="00744E97" w:rsidRPr="00744E97">
              <w:rPr>
                <w:sz w:val="21"/>
                <w:szCs w:val="21"/>
              </w:rPr>
              <w:t xml:space="preserve"> »). De l'autre, il lui donne seulement la possibilité - et non l'obligation - de les réduire en cas d'expansion du marché illégal (« </w:t>
            </w:r>
            <w:r w:rsidR="00744E97" w:rsidRPr="00F87F75">
              <w:rPr>
                <w:i/>
                <w:iCs/>
                <w:sz w:val="21"/>
                <w:szCs w:val="21"/>
              </w:rPr>
              <w:t xml:space="preserve">Il </w:t>
            </w:r>
            <w:r w:rsidR="00744E97" w:rsidRPr="00F87F75">
              <w:rPr>
                <w:b/>
                <w:bCs/>
                <w:i/>
                <w:iCs/>
                <w:sz w:val="21"/>
                <w:szCs w:val="21"/>
                <w:u w:val="single"/>
              </w:rPr>
              <w:t>peut</w:t>
            </w:r>
            <w:r w:rsidR="00744E97" w:rsidRPr="00F87F75">
              <w:rPr>
                <w:i/>
                <w:iCs/>
                <w:sz w:val="21"/>
                <w:szCs w:val="21"/>
              </w:rPr>
              <w:t xml:space="preserve"> les réduire en cas d'expansion du marché illégal</w:t>
            </w:r>
            <w:r w:rsidR="00744E97" w:rsidRPr="00744E97">
              <w:rPr>
                <w:sz w:val="21"/>
                <w:szCs w:val="21"/>
              </w:rPr>
              <w:t xml:space="preserve"> »).</w:t>
            </w:r>
          </w:p>
        </w:tc>
        <w:tc>
          <w:tcPr>
            <w:tcW w:w="5517" w:type="dxa"/>
          </w:tcPr>
          <w:p w14:paraId="7D4859CB" w14:textId="77777777" w:rsidR="00FC057C" w:rsidRPr="00801089" w:rsidRDefault="00FC057C" w:rsidP="007E3C35">
            <w:pPr>
              <w:rPr>
                <w:sz w:val="21"/>
                <w:szCs w:val="21"/>
              </w:rPr>
            </w:pPr>
          </w:p>
        </w:tc>
      </w:tr>
      <w:tr w:rsidR="00FC057C" w:rsidRPr="00717151" w14:paraId="68AFBA7D" w14:textId="77777777" w:rsidTr="0077201D">
        <w:trPr>
          <w:trHeight w:val="510"/>
        </w:trPr>
        <w:tc>
          <w:tcPr>
            <w:tcW w:w="729" w:type="dxa"/>
          </w:tcPr>
          <w:p w14:paraId="2373E61F" w14:textId="3B0B0A32" w:rsidR="00FC057C" w:rsidRDefault="008B514A" w:rsidP="007E3C35">
            <w:pPr>
              <w:rPr>
                <w:b/>
                <w:bCs/>
                <w:sz w:val="20"/>
                <w:szCs w:val="20"/>
              </w:rPr>
            </w:pPr>
            <w:r>
              <w:rPr>
                <w:b/>
                <w:bCs/>
                <w:sz w:val="20"/>
                <w:szCs w:val="20"/>
              </w:rPr>
              <w:t>62</w:t>
            </w:r>
          </w:p>
        </w:tc>
        <w:tc>
          <w:tcPr>
            <w:tcW w:w="708" w:type="dxa"/>
          </w:tcPr>
          <w:p w14:paraId="304FF02E" w14:textId="15A122D5" w:rsidR="00FC057C" w:rsidRPr="00A5371A" w:rsidRDefault="008B514A" w:rsidP="007E3C35">
            <w:pPr>
              <w:rPr>
                <w:b/>
                <w:bCs/>
                <w:sz w:val="20"/>
                <w:szCs w:val="20"/>
              </w:rPr>
            </w:pPr>
            <w:r>
              <w:rPr>
                <w:b/>
                <w:bCs/>
                <w:sz w:val="20"/>
                <w:szCs w:val="20"/>
              </w:rPr>
              <w:t>1</w:t>
            </w:r>
            <w:r w:rsidR="00AA00F5">
              <w:rPr>
                <w:b/>
                <w:bCs/>
                <w:sz w:val="20"/>
                <w:szCs w:val="20"/>
              </w:rPr>
              <w:t xml:space="preserve"> et 2</w:t>
            </w:r>
          </w:p>
        </w:tc>
        <w:tc>
          <w:tcPr>
            <w:tcW w:w="708" w:type="dxa"/>
          </w:tcPr>
          <w:p w14:paraId="05BDE20A" w14:textId="77777777" w:rsidR="00FC057C" w:rsidRPr="00A5371A" w:rsidRDefault="00FC057C" w:rsidP="007E3C35">
            <w:pPr>
              <w:rPr>
                <w:b/>
                <w:bCs/>
                <w:sz w:val="20"/>
                <w:szCs w:val="20"/>
              </w:rPr>
            </w:pPr>
          </w:p>
        </w:tc>
        <w:tc>
          <w:tcPr>
            <w:tcW w:w="6650" w:type="dxa"/>
          </w:tcPr>
          <w:p w14:paraId="1FA8E3F9" w14:textId="77777777" w:rsidR="00AA00F5" w:rsidRDefault="00AA00F5" w:rsidP="00AA00F5">
            <w:pPr>
              <w:jc w:val="both"/>
              <w:rPr>
                <w:sz w:val="21"/>
                <w:szCs w:val="21"/>
              </w:rPr>
            </w:pPr>
            <w:r w:rsidRPr="00AA00F5">
              <w:rPr>
                <w:sz w:val="21"/>
                <w:szCs w:val="21"/>
              </w:rPr>
              <w:t>Le GREA estime que les objectifs fixés à l'article 62, notamment aux alinéas 1 et 2, sont irréalistes et contre-productifs dans le contexte suisse actuel.</w:t>
            </w:r>
          </w:p>
          <w:p w14:paraId="4E761481" w14:textId="77777777" w:rsidR="00AA00F5" w:rsidRPr="00AA00F5" w:rsidRDefault="00AA00F5" w:rsidP="00AA00F5">
            <w:pPr>
              <w:jc w:val="both"/>
              <w:rPr>
                <w:sz w:val="21"/>
                <w:szCs w:val="21"/>
              </w:rPr>
            </w:pPr>
          </w:p>
          <w:p w14:paraId="2D3E8892" w14:textId="68F640EB" w:rsidR="00AA00F5" w:rsidRDefault="00AA00F5" w:rsidP="00AA00F5">
            <w:pPr>
              <w:jc w:val="both"/>
              <w:rPr>
                <w:sz w:val="21"/>
                <w:szCs w:val="21"/>
              </w:rPr>
            </w:pPr>
            <w:r w:rsidRPr="00AA00F5">
              <w:rPr>
                <w:b/>
                <w:bCs/>
                <w:sz w:val="21"/>
                <w:szCs w:val="21"/>
              </w:rPr>
              <w:t>Objectifs trop ambitieux</w:t>
            </w:r>
            <w:r w:rsidRPr="00AA00F5">
              <w:rPr>
                <w:sz w:val="21"/>
                <w:szCs w:val="21"/>
              </w:rPr>
              <w:t xml:space="preserve"> : </w:t>
            </w:r>
            <w:proofErr w:type="spellStart"/>
            <w:r w:rsidRPr="00AA00F5">
              <w:rPr>
                <w:sz w:val="21"/>
                <w:szCs w:val="21"/>
              </w:rPr>
              <w:t>L</w:t>
            </w:r>
            <w:r>
              <w:rPr>
                <w:sz w:val="21"/>
                <w:szCs w:val="21"/>
              </w:rPr>
              <w:t>l</w:t>
            </w:r>
            <w:r w:rsidRPr="00AA00F5">
              <w:rPr>
                <w:sz w:val="21"/>
                <w:szCs w:val="21"/>
              </w:rPr>
              <w:t>alinéa</w:t>
            </w:r>
            <w:proofErr w:type="spellEnd"/>
            <w:r w:rsidRPr="00AA00F5">
              <w:rPr>
                <w:sz w:val="21"/>
                <w:szCs w:val="21"/>
              </w:rPr>
              <w:t xml:space="preserve"> 1 exige qu'après 10 ans, les produits cannabiques à fumer représentent moins de 50% des ventes, et après 25 ans, moins de 20%. L'alinéa 2 exige qu'après 10 ans, au moins 30% des produits sans additifs aient une teneur en THC inférieure à 10%, et après 25 ans, au moins 50%. Ces objectifs, bien qu'issus d'une intention louable de santé publique, ne tiennent pas suffisamment compte des réalités du marché actuel où, selon les enquêtes mentionnées dans le rapport explicatif, environ 95% des consommateurs fument principalement du cannabis.</w:t>
            </w:r>
          </w:p>
          <w:p w14:paraId="43D769ED" w14:textId="77777777" w:rsidR="00AA00F5" w:rsidRPr="00AA00F5" w:rsidRDefault="00AA00F5" w:rsidP="00AA00F5">
            <w:pPr>
              <w:jc w:val="both"/>
              <w:rPr>
                <w:sz w:val="21"/>
                <w:szCs w:val="21"/>
              </w:rPr>
            </w:pPr>
          </w:p>
          <w:p w14:paraId="530A1CF5" w14:textId="3A9F620B" w:rsidR="00AA00F5" w:rsidRPr="00AA00F5" w:rsidRDefault="00AA00F5" w:rsidP="00AA00F5">
            <w:pPr>
              <w:jc w:val="both"/>
              <w:rPr>
                <w:sz w:val="21"/>
                <w:szCs w:val="21"/>
              </w:rPr>
            </w:pPr>
            <w:r w:rsidRPr="00AA00F5">
              <w:rPr>
                <w:b/>
                <w:bCs/>
                <w:sz w:val="21"/>
                <w:szCs w:val="21"/>
              </w:rPr>
              <w:t>Risque pour le succès de la régulation</w:t>
            </w:r>
            <w:r w:rsidRPr="00AA00F5">
              <w:rPr>
                <w:sz w:val="21"/>
                <w:szCs w:val="21"/>
              </w:rPr>
              <w:t xml:space="preserve"> : </w:t>
            </w:r>
            <w:r w:rsidR="002B0478">
              <w:rPr>
                <w:sz w:val="21"/>
                <w:szCs w:val="21"/>
              </w:rPr>
              <w:t>c</w:t>
            </w:r>
            <w:r w:rsidRPr="00AA00F5">
              <w:rPr>
                <w:sz w:val="21"/>
                <w:szCs w:val="21"/>
              </w:rPr>
              <w:t xml:space="preserve">omme expliqué dans la remarque générale, le mécanisme de l'article 63 al. 4 obligera le </w:t>
            </w:r>
            <w:r w:rsidRPr="00AA00F5">
              <w:rPr>
                <w:sz w:val="21"/>
                <w:szCs w:val="21"/>
              </w:rPr>
              <w:lastRenderedPageBreak/>
              <w:t>Conseil fédéral à augmenter les taxes si ces objectifs ambitieux ne sont pas atteints, conduisant à une hausse des prix qui maintiendra les consommateurs sur le marché illégal. Le GREA craint que cette dynamique ne condamne la régulation à l'échec avant même qu'elle n'ait eu le temps de produire ses effets bénéfiques.</w:t>
            </w:r>
          </w:p>
          <w:p w14:paraId="60955E7E" w14:textId="77777777" w:rsidR="00FC057C" w:rsidRPr="00AA00F5" w:rsidRDefault="00FC057C" w:rsidP="007E3C35">
            <w:pPr>
              <w:rPr>
                <w:sz w:val="21"/>
                <w:szCs w:val="21"/>
              </w:rPr>
            </w:pPr>
          </w:p>
        </w:tc>
        <w:tc>
          <w:tcPr>
            <w:tcW w:w="5517" w:type="dxa"/>
          </w:tcPr>
          <w:p w14:paraId="5D56DED7" w14:textId="42E68A9C" w:rsidR="00FC057C" w:rsidRPr="00801089" w:rsidRDefault="00310975" w:rsidP="00E56609">
            <w:pPr>
              <w:jc w:val="both"/>
              <w:rPr>
                <w:sz w:val="21"/>
                <w:szCs w:val="21"/>
              </w:rPr>
            </w:pPr>
            <w:r w:rsidRPr="00310975">
              <w:rPr>
                <w:sz w:val="21"/>
                <w:szCs w:val="21"/>
              </w:rPr>
              <w:lastRenderedPageBreak/>
              <w:t xml:space="preserve">Le GREA demande que les objectifs de l'article 62, alinéa 1 et 2, soient </w:t>
            </w:r>
            <w:r w:rsidRPr="00310975">
              <w:rPr>
                <w:b/>
                <w:bCs/>
                <w:sz w:val="21"/>
                <w:szCs w:val="21"/>
              </w:rPr>
              <w:t>considérablement revus à la baisse</w:t>
            </w:r>
            <w:r w:rsidRPr="00310975">
              <w:rPr>
                <w:sz w:val="21"/>
                <w:szCs w:val="21"/>
              </w:rPr>
              <w:t xml:space="preserve"> et rendus plus réalistes, ou, si cela est juridiquement possible, supprimés pour les premières années de mise en œuvre. Une période d'observation de 5 à 10 ans devrait d'abord permettre d'évaluer l'évolution réelle du marché avant de fixer des objectifs contraignants. La priorité absolue des premières années doit être l'assèchement du marché illégal, condition sine qua non du succès de toute politique de santé publique en la matière.</w:t>
            </w:r>
          </w:p>
        </w:tc>
      </w:tr>
      <w:tr w:rsidR="008B514A" w:rsidRPr="00717151" w14:paraId="3E36320A" w14:textId="77777777" w:rsidTr="0077201D">
        <w:trPr>
          <w:trHeight w:val="510"/>
        </w:trPr>
        <w:tc>
          <w:tcPr>
            <w:tcW w:w="729" w:type="dxa"/>
          </w:tcPr>
          <w:p w14:paraId="6A21440B" w14:textId="1D9A4F4F" w:rsidR="008B514A" w:rsidRDefault="00107700" w:rsidP="007E3C35">
            <w:pPr>
              <w:rPr>
                <w:b/>
                <w:bCs/>
                <w:sz w:val="20"/>
                <w:szCs w:val="20"/>
              </w:rPr>
            </w:pPr>
            <w:r>
              <w:rPr>
                <w:b/>
                <w:bCs/>
                <w:sz w:val="20"/>
                <w:szCs w:val="20"/>
              </w:rPr>
              <w:t>63</w:t>
            </w:r>
          </w:p>
        </w:tc>
        <w:tc>
          <w:tcPr>
            <w:tcW w:w="708" w:type="dxa"/>
          </w:tcPr>
          <w:p w14:paraId="193C5614" w14:textId="4D00AFE6" w:rsidR="008B514A" w:rsidRPr="00A5371A" w:rsidRDefault="007A56BD" w:rsidP="007E3C35">
            <w:pPr>
              <w:rPr>
                <w:b/>
                <w:bCs/>
                <w:sz w:val="20"/>
                <w:szCs w:val="20"/>
              </w:rPr>
            </w:pPr>
            <w:r>
              <w:rPr>
                <w:b/>
                <w:bCs/>
                <w:sz w:val="20"/>
                <w:szCs w:val="20"/>
              </w:rPr>
              <w:t>3</w:t>
            </w:r>
          </w:p>
        </w:tc>
        <w:tc>
          <w:tcPr>
            <w:tcW w:w="708" w:type="dxa"/>
          </w:tcPr>
          <w:p w14:paraId="3ABF0F50" w14:textId="77777777" w:rsidR="008B514A" w:rsidRPr="00A5371A" w:rsidRDefault="008B514A" w:rsidP="007E3C35">
            <w:pPr>
              <w:rPr>
                <w:b/>
                <w:bCs/>
                <w:sz w:val="20"/>
                <w:szCs w:val="20"/>
              </w:rPr>
            </w:pPr>
          </w:p>
        </w:tc>
        <w:tc>
          <w:tcPr>
            <w:tcW w:w="6650" w:type="dxa"/>
          </w:tcPr>
          <w:p w14:paraId="02781E57" w14:textId="77777777" w:rsidR="008B514A" w:rsidRDefault="00107700" w:rsidP="007E3C35">
            <w:pPr>
              <w:rPr>
                <w:b/>
                <w:bCs/>
                <w:sz w:val="21"/>
                <w:szCs w:val="21"/>
              </w:rPr>
            </w:pPr>
            <w:r w:rsidRPr="00107700">
              <w:rPr>
                <w:b/>
                <w:bCs/>
                <w:sz w:val="21"/>
                <w:szCs w:val="21"/>
              </w:rPr>
              <w:t>Art. 63 - Calcul de la taxe d'incitation</w:t>
            </w:r>
          </w:p>
          <w:p w14:paraId="437D6A5E" w14:textId="77777777" w:rsidR="00107700" w:rsidRDefault="00107700" w:rsidP="007E3C35">
            <w:pPr>
              <w:rPr>
                <w:sz w:val="21"/>
                <w:szCs w:val="21"/>
              </w:rPr>
            </w:pPr>
          </w:p>
          <w:p w14:paraId="18BE6718" w14:textId="77777777" w:rsidR="003019D0" w:rsidRDefault="003019D0" w:rsidP="003019D0">
            <w:pPr>
              <w:jc w:val="both"/>
              <w:rPr>
                <w:sz w:val="21"/>
                <w:szCs w:val="21"/>
              </w:rPr>
            </w:pPr>
            <w:r w:rsidRPr="003019D0">
              <w:rPr>
                <w:sz w:val="21"/>
                <w:szCs w:val="21"/>
              </w:rPr>
              <w:t>Le GREA soutient le principe d'une taxation proportionnelle à la teneur en THC (al. 1 et 2) et approuve l'objectif général d'inciter à des modes de consommation sans combustion. Toutefois, l'application de la taxe sur le risque lié au type d'utilisation aux fleurs de cannabis présente un défaut majeur qui pénalise paradoxalement certains modes de consommation parmi les moins dangereux.</w:t>
            </w:r>
          </w:p>
          <w:p w14:paraId="221E00A9" w14:textId="77777777" w:rsidR="003019D0" w:rsidRPr="003019D0" w:rsidRDefault="003019D0" w:rsidP="003019D0">
            <w:pPr>
              <w:jc w:val="both"/>
              <w:rPr>
                <w:sz w:val="21"/>
                <w:szCs w:val="21"/>
              </w:rPr>
            </w:pPr>
          </w:p>
          <w:p w14:paraId="37B45E17" w14:textId="116D0ED5" w:rsidR="003019D0" w:rsidRDefault="003019D0" w:rsidP="003019D0">
            <w:pPr>
              <w:jc w:val="both"/>
              <w:rPr>
                <w:sz w:val="21"/>
                <w:szCs w:val="21"/>
              </w:rPr>
            </w:pPr>
            <w:r w:rsidRPr="003019D0">
              <w:rPr>
                <w:b/>
                <w:bCs/>
                <w:sz w:val="21"/>
                <w:szCs w:val="21"/>
              </w:rPr>
              <w:t>Problématique des fleurs de cannabis :</w:t>
            </w:r>
            <w:r w:rsidR="00BF152E">
              <w:rPr>
                <w:b/>
                <w:bCs/>
                <w:sz w:val="21"/>
                <w:szCs w:val="21"/>
              </w:rPr>
              <w:t xml:space="preserve"> </w:t>
            </w:r>
            <w:r w:rsidR="00BF152E" w:rsidRPr="00BF152E">
              <w:rPr>
                <w:sz w:val="21"/>
                <w:szCs w:val="21"/>
              </w:rPr>
              <w:t>l</w:t>
            </w:r>
            <w:r w:rsidRPr="003019D0">
              <w:rPr>
                <w:sz w:val="21"/>
                <w:szCs w:val="21"/>
              </w:rPr>
              <w:t>es fleurs de cannabis se voient appliquer la catégorie de risque la plus élevée car elles sont présumées destinées à être fumées sous forme de joints. Or, ces mêmes fleurs sont également utilisées dans des vaporisateurs (</w:t>
            </w:r>
            <w:proofErr w:type="spellStart"/>
            <w:r w:rsidRPr="003019D0">
              <w:rPr>
                <w:i/>
                <w:iCs/>
                <w:sz w:val="21"/>
                <w:szCs w:val="21"/>
              </w:rPr>
              <w:t>Crafty</w:t>
            </w:r>
            <w:proofErr w:type="spellEnd"/>
            <w:r w:rsidRPr="003019D0">
              <w:rPr>
                <w:i/>
                <w:iCs/>
                <w:sz w:val="21"/>
                <w:szCs w:val="21"/>
              </w:rPr>
              <w:t xml:space="preserve">, </w:t>
            </w:r>
            <w:proofErr w:type="spellStart"/>
            <w:r w:rsidRPr="003019D0">
              <w:rPr>
                <w:i/>
                <w:iCs/>
                <w:sz w:val="21"/>
                <w:szCs w:val="21"/>
              </w:rPr>
              <w:t>Volcano</w:t>
            </w:r>
            <w:proofErr w:type="spellEnd"/>
            <w:r w:rsidRPr="003019D0">
              <w:rPr>
                <w:sz w:val="21"/>
                <w:szCs w:val="21"/>
              </w:rPr>
              <w:t xml:space="preserve">, etc.), qui constituent, selon l'état actuel des connaissances, </w:t>
            </w:r>
            <w:r w:rsidR="000B19F0">
              <w:rPr>
                <w:sz w:val="21"/>
                <w:szCs w:val="21"/>
              </w:rPr>
              <w:t>un des</w:t>
            </w:r>
            <w:r w:rsidRPr="003019D0">
              <w:rPr>
                <w:sz w:val="21"/>
                <w:szCs w:val="21"/>
              </w:rPr>
              <w:t xml:space="preserve"> mode</w:t>
            </w:r>
            <w:r w:rsidR="000B19F0">
              <w:rPr>
                <w:sz w:val="21"/>
                <w:szCs w:val="21"/>
              </w:rPr>
              <w:t>s</w:t>
            </w:r>
            <w:r w:rsidRPr="003019D0">
              <w:rPr>
                <w:sz w:val="21"/>
                <w:szCs w:val="21"/>
              </w:rPr>
              <w:t xml:space="preserve"> de consommation le moins dangereux pour la santé. La vaporisation permet de chauffer le cannabis sans combustion, évitant ainsi la production de substances toxiques liées à la fumée, tout en offrant plus de recul scientifique que les e-liquides ou autres produits transformés.</w:t>
            </w:r>
          </w:p>
          <w:p w14:paraId="3C82761A" w14:textId="77777777" w:rsidR="000B19F0" w:rsidRPr="003019D0" w:rsidRDefault="000B19F0" w:rsidP="003019D0">
            <w:pPr>
              <w:jc w:val="both"/>
              <w:rPr>
                <w:sz w:val="21"/>
                <w:szCs w:val="21"/>
              </w:rPr>
            </w:pPr>
          </w:p>
          <w:p w14:paraId="1D8A6B4E" w14:textId="77777777" w:rsidR="003019D0" w:rsidRDefault="003019D0" w:rsidP="003019D0">
            <w:pPr>
              <w:jc w:val="both"/>
              <w:rPr>
                <w:sz w:val="21"/>
                <w:szCs w:val="21"/>
              </w:rPr>
            </w:pPr>
            <w:r w:rsidRPr="003019D0">
              <w:rPr>
                <w:sz w:val="21"/>
                <w:szCs w:val="21"/>
              </w:rPr>
              <w:t xml:space="preserve">Les projets pilotes suisses, notamment </w:t>
            </w:r>
            <w:proofErr w:type="spellStart"/>
            <w:r w:rsidRPr="003019D0">
              <w:rPr>
                <w:sz w:val="21"/>
                <w:szCs w:val="21"/>
              </w:rPr>
              <w:t>CannL</w:t>
            </w:r>
            <w:proofErr w:type="spellEnd"/>
            <w:r w:rsidRPr="003019D0">
              <w:rPr>
                <w:sz w:val="21"/>
                <w:szCs w:val="21"/>
              </w:rPr>
              <w:t xml:space="preserve"> à Lausanne, démontrent qu'un nombre important de participants passent spontanément des joints à la vaporisation lorsqu'ils ont accès à des produits légaux et à de l'information. De plus, les fleurs peuvent également être utilisées à domicile pour confectionner des produits comestibles (</w:t>
            </w:r>
            <w:proofErr w:type="spellStart"/>
            <w:r w:rsidRPr="003019D0">
              <w:rPr>
                <w:sz w:val="21"/>
                <w:szCs w:val="21"/>
              </w:rPr>
              <w:t>space</w:t>
            </w:r>
            <w:proofErr w:type="spellEnd"/>
            <w:r w:rsidRPr="003019D0">
              <w:rPr>
                <w:sz w:val="21"/>
                <w:szCs w:val="21"/>
              </w:rPr>
              <w:t xml:space="preserve"> cookies, etc.), autre mode de consommation sans combustion et donc à risque réduit.</w:t>
            </w:r>
          </w:p>
          <w:p w14:paraId="4C0AD48F" w14:textId="77777777" w:rsidR="000B19F0" w:rsidRPr="003019D0" w:rsidRDefault="000B19F0" w:rsidP="003019D0">
            <w:pPr>
              <w:jc w:val="both"/>
              <w:rPr>
                <w:sz w:val="21"/>
                <w:szCs w:val="21"/>
              </w:rPr>
            </w:pPr>
          </w:p>
          <w:p w14:paraId="624345BB" w14:textId="3EE923AF" w:rsidR="003019D0" w:rsidRPr="003019D0" w:rsidRDefault="003019D0" w:rsidP="003019D0">
            <w:pPr>
              <w:jc w:val="both"/>
              <w:rPr>
                <w:sz w:val="21"/>
                <w:szCs w:val="21"/>
              </w:rPr>
            </w:pPr>
            <w:r w:rsidRPr="003019D0">
              <w:rPr>
                <w:sz w:val="21"/>
                <w:szCs w:val="21"/>
              </w:rPr>
              <w:t xml:space="preserve">La </w:t>
            </w:r>
            <w:proofErr w:type="spellStart"/>
            <w:r w:rsidR="00244D28">
              <w:rPr>
                <w:sz w:val="21"/>
                <w:szCs w:val="21"/>
              </w:rPr>
              <w:t>LPCan</w:t>
            </w:r>
            <w:proofErr w:type="spellEnd"/>
            <w:r w:rsidRPr="003019D0">
              <w:rPr>
                <w:sz w:val="21"/>
                <w:szCs w:val="21"/>
              </w:rPr>
              <w:t>, dans sa forme actuelle, pénalise donc par un prix plus élevé des usagers adoptant précisément les comportements de consommation que la santé publique devrait encourager. Il est techniquement impossible de distinguer à la vente les fleurs destinées à être fumées de celles destinées à être vaporisées (</w:t>
            </w:r>
            <w:r w:rsidR="00244D28">
              <w:rPr>
                <w:sz w:val="21"/>
                <w:szCs w:val="21"/>
              </w:rPr>
              <w:t>par exemple d</w:t>
            </w:r>
            <w:r w:rsidRPr="003019D0">
              <w:rPr>
                <w:sz w:val="21"/>
                <w:szCs w:val="21"/>
              </w:rPr>
              <w:t>es capsules pré-dosées</w:t>
            </w:r>
            <w:r w:rsidR="00244D28">
              <w:rPr>
                <w:sz w:val="21"/>
                <w:szCs w:val="21"/>
              </w:rPr>
              <w:t xml:space="preserve"> pour vaporisateur</w:t>
            </w:r>
            <w:r w:rsidRPr="003019D0">
              <w:rPr>
                <w:sz w:val="21"/>
                <w:szCs w:val="21"/>
              </w:rPr>
              <w:t xml:space="preserve"> étant trop facilement ouvrables).</w:t>
            </w:r>
          </w:p>
          <w:p w14:paraId="4EBB45EE" w14:textId="2C93B6F6" w:rsidR="00107700" w:rsidRPr="00107700" w:rsidRDefault="00107700" w:rsidP="007E3C35">
            <w:pPr>
              <w:rPr>
                <w:sz w:val="21"/>
                <w:szCs w:val="21"/>
              </w:rPr>
            </w:pPr>
          </w:p>
        </w:tc>
        <w:tc>
          <w:tcPr>
            <w:tcW w:w="5517" w:type="dxa"/>
          </w:tcPr>
          <w:p w14:paraId="01EBA398" w14:textId="12C81DDD" w:rsidR="003B17F5" w:rsidRDefault="003B17F5" w:rsidP="00E33C02">
            <w:pPr>
              <w:jc w:val="both"/>
              <w:rPr>
                <w:sz w:val="21"/>
                <w:szCs w:val="21"/>
              </w:rPr>
            </w:pPr>
            <w:r w:rsidRPr="003B17F5">
              <w:rPr>
                <w:sz w:val="21"/>
                <w:szCs w:val="21"/>
              </w:rPr>
              <w:lastRenderedPageBreak/>
              <w:t xml:space="preserve">Le GREA propose de modifier l'article </w:t>
            </w:r>
            <w:proofErr w:type="gramStart"/>
            <w:r w:rsidRPr="003B17F5">
              <w:rPr>
                <w:sz w:val="21"/>
                <w:szCs w:val="21"/>
              </w:rPr>
              <w:t xml:space="preserve">63 </w:t>
            </w:r>
            <w:r w:rsidR="007A56BD">
              <w:rPr>
                <w:sz w:val="21"/>
                <w:szCs w:val="21"/>
              </w:rPr>
              <w:t>,</w:t>
            </w:r>
            <w:proofErr w:type="gramEnd"/>
            <w:r w:rsidR="007A56BD">
              <w:rPr>
                <w:sz w:val="21"/>
                <w:szCs w:val="21"/>
              </w:rPr>
              <w:t xml:space="preserve"> al. 3 </w:t>
            </w:r>
            <w:r w:rsidRPr="003B17F5">
              <w:rPr>
                <w:sz w:val="21"/>
                <w:szCs w:val="21"/>
              </w:rPr>
              <w:t xml:space="preserve">pour </w:t>
            </w:r>
            <w:r w:rsidRPr="003B17F5">
              <w:rPr>
                <w:b/>
                <w:bCs/>
                <w:sz w:val="21"/>
                <w:szCs w:val="21"/>
              </w:rPr>
              <w:t>exclure les fleurs de cannabis</w:t>
            </w:r>
            <w:r w:rsidRPr="003B17F5">
              <w:rPr>
                <w:sz w:val="21"/>
                <w:szCs w:val="21"/>
              </w:rPr>
              <w:t xml:space="preserve"> non transformées (produits cannabiques sans additifs issus de cannabis non transformé au sens de l'art. 20 al. 1) de l'application de la taxe sur le risque lié au type d'utilisation. Pour ces produits, seule la taxe sur la teneur en THC devrait s'appliquer.</w:t>
            </w:r>
          </w:p>
          <w:p w14:paraId="26ECBC9F" w14:textId="77777777" w:rsidR="00E33C02" w:rsidRPr="003B17F5" w:rsidRDefault="00E33C02" w:rsidP="00E33C02">
            <w:pPr>
              <w:jc w:val="both"/>
              <w:rPr>
                <w:sz w:val="21"/>
                <w:szCs w:val="21"/>
              </w:rPr>
            </w:pPr>
          </w:p>
          <w:p w14:paraId="3E40FA1C" w14:textId="241E8411" w:rsidR="003B17F5" w:rsidRPr="003B17F5" w:rsidRDefault="003B17F5" w:rsidP="00E33C02">
            <w:pPr>
              <w:jc w:val="both"/>
              <w:rPr>
                <w:sz w:val="21"/>
                <w:szCs w:val="21"/>
              </w:rPr>
            </w:pPr>
            <w:r w:rsidRPr="003B17F5">
              <w:rPr>
                <w:sz w:val="21"/>
                <w:szCs w:val="21"/>
              </w:rPr>
              <w:t xml:space="preserve">La taxe sur le risque lié au type d'utilisation </w:t>
            </w:r>
            <w:r w:rsidR="0070367F">
              <w:rPr>
                <w:sz w:val="21"/>
                <w:szCs w:val="21"/>
              </w:rPr>
              <w:t>peut être</w:t>
            </w:r>
            <w:r w:rsidRPr="003B17F5">
              <w:rPr>
                <w:sz w:val="21"/>
                <w:szCs w:val="21"/>
              </w:rPr>
              <w:t xml:space="preserve"> maintenue pour les autres catégories de produits où le mode de consommation est moins ambigu (haschisch transformé, produits à avaler, produits à vaporiser sous forme liquide, cigarettes au cannabis prêtes à l'emploi).</w:t>
            </w:r>
          </w:p>
          <w:p w14:paraId="01769B73" w14:textId="77777777" w:rsidR="008B514A" w:rsidRPr="00801089" w:rsidRDefault="008B514A" w:rsidP="007E3C35">
            <w:pPr>
              <w:rPr>
                <w:sz w:val="21"/>
                <w:szCs w:val="21"/>
              </w:rPr>
            </w:pPr>
          </w:p>
        </w:tc>
      </w:tr>
      <w:tr w:rsidR="007E3C35" w:rsidRPr="00717151" w14:paraId="18E68CE2" w14:textId="77777777" w:rsidTr="0077201D">
        <w:trPr>
          <w:trHeight w:val="510"/>
        </w:trPr>
        <w:tc>
          <w:tcPr>
            <w:tcW w:w="729" w:type="dxa"/>
          </w:tcPr>
          <w:p w14:paraId="2EFC0DCB" w14:textId="4B0A26AA" w:rsidR="007E3C35" w:rsidRDefault="003C5C66" w:rsidP="007E3C35">
            <w:pPr>
              <w:rPr>
                <w:b/>
                <w:bCs/>
                <w:sz w:val="20"/>
                <w:szCs w:val="20"/>
              </w:rPr>
            </w:pPr>
            <w:r>
              <w:rPr>
                <w:b/>
                <w:bCs/>
                <w:sz w:val="20"/>
                <w:szCs w:val="20"/>
              </w:rPr>
              <w:t>65</w:t>
            </w:r>
          </w:p>
        </w:tc>
        <w:tc>
          <w:tcPr>
            <w:tcW w:w="708" w:type="dxa"/>
          </w:tcPr>
          <w:p w14:paraId="16A9F599" w14:textId="5F7A178E" w:rsidR="007E3C35" w:rsidRPr="00A5371A" w:rsidRDefault="003C5C66" w:rsidP="007E3C35">
            <w:pPr>
              <w:rPr>
                <w:b/>
                <w:bCs/>
                <w:sz w:val="20"/>
                <w:szCs w:val="20"/>
              </w:rPr>
            </w:pPr>
            <w:r>
              <w:rPr>
                <w:b/>
                <w:bCs/>
                <w:sz w:val="20"/>
                <w:szCs w:val="20"/>
              </w:rPr>
              <w:t>2</w:t>
            </w:r>
          </w:p>
        </w:tc>
        <w:tc>
          <w:tcPr>
            <w:tcW w:w="708" w:type="dxa"/>
          </w:tcPr>
          <w:p w14:paraId="113FA1B0" w14:textId="77777777" w:rsidR="007E3C35" w:rsidRPr="00A5371A" w:rsidRDefault="007E3C35" w:rsidP="007E3C35">
            <w:pPr>
              <w:rPr>
                <w:b/>
                <w:bCs/>
                <w:sz w:val="20"/>
                <w:szCs w:val="20"/>
              </w:rPr>
            </w:pPr>
          </w:p>
        </w:tc>
        <w:tc>
          <w:tcPr>
            <w:tcW w:w="6650" w:type="dxa"/>
          </w:tcPr>
          <w:p w14:paraId="13A4A3B6" w14:textId="77777777" w:rsidR="00613727" w:rsidRDefault="00613727" w:rsidP="00613727">
            <w:pPr>
              <w:rPr>
                <w:sz w:val="21"/>
                <w:szCs w:val="21"/>
              </w:rPr>
            </w:pPr>
            <w:r>
              <w:rPr>
                <w:sz w:val="21"/>
                <w:szCs w:val="21"/>
              </w:rPr>
              <w:t>Le GREA soutient l’avant-projet et s’oppose à la proposition de minorité.</w:t>
            </w:r>
          </w:p>
          <w:p w14:paraId="2E2942BA" w14:textId="77777777" w:rsidR="00613727" w:rsidRPr="0026672D" w:rsidRDefault="00613727" w:rsidP="00613727">
            <w:pPr>
              <w:rPr>
                <w:sz w:val="21"/>
                <w:szCs w:val="21"/>
              </w:rPr>
            </w:pPr>
            <w:r w:rsidRPr="0026672D">
              <w:rPr>
                <w:sz w:val="21"/>
                <w:szCs w:val="21"/>
              </w:rPr>
              <w:t>La redistribution via l'assurance-maladie obligatoire (</w:t>
            </w:r>
            <w:proofErr w:type="spellStart"/>
            <w:r w:rsidRPr="0026672D">
              <w:rPr>
                <w:sz w:val="21"/>
                <w:szCs w:val="21"/>
              </w:rPr>
              <w:t>LAMal</w:t>
            </w:r>
            <w:proofErr w:type="spellEnd"/>
            <w:r w:rsidRPr="0026672D">
              <w:rPr>
                <w:sz w:val="21"/>
                <w:szCs w:val="21"/>
              </w:rPr>
              <w:t xml:space="preserve">) est bien plus appropriée que le versement à l'AVS car elle maintient un lien direct entre la taxe sur le cannabis et la santé publique, domaine qui traite les éventuelles conséquences de cette substance. </w:t>
            </w:r>
            <w:r>
              <w:rPr>
                <w:sz w:val="21"/>
                <w:szCs w:val="21"/>
              </w:rPr>
              <w:t>De plus,</w:t>
            </w:r>
            <w:r w:rsidRPr="0026672D">
              <w:rPr>
                <w:sz w:val="21"/>
                <w:szCs w:val="21"/>
              </w:rPr>
              <w:t xml:space="preserve"> la redirection vers l'AVS nécessiterait de nouvelles procédures complexes et soulèverait des questions constitutionnelles que l'OFJ a déjà identifiées.</w:t>
            </w:r>
          </w:p>
          <w:p w14:paraId="512A8BC4" w14:textId="4830A951" w:rsidR="007E3C35" w:rsidRPr="004D5964" w:rsidRDefault="00613727" w:rsidP="00613727">
            <w:pPr>
              <w:rPr>
                <w:sz w:val="21"/>
                <w:szCs w:val="21"/>
              </w:rPr>
            </w:pPr>
            <w:r>
              <w:rPr>
                <w:sz w:val="21"/>
                <w:szCs w:val="21"/>
              </w:rPr>
              <w:t xml:space="preserve">En outre, la distribution actuelle à l’AVS des produits de l’impôt sur le tabac et les maisons de jeu ne satisfait pas le GREA : la nécessité d’augmenter les recettes de l’AVS face au vieillissement démographique entre en contradiction avec celle de faire baisser la consommation de ces produits. L’affectation des impôts sur le tabac et les jeux de casino détourne la volonté politique de lutter contre </w:t>
            </w:r>
            <w:r w:rsidR="00D968B1">
              <w:rPr>
                <w:sz w:val="21"/>
                <w:szCs w:val="21"/>
              </w:rPr>
              <w:t>c</w:t>
            </w:r>
            <w:r>
              <w:rPr>
                <w:sz w:val="21"/>
                <w:szCs w:val="21"/>
              </w:rPr>
              <w:t>es addictions.</w:t>
            </w:r>
          </w:p>
        </w:tc>
        <w:tc>
          <w:tcPr>
            <w:tcW w:w="5517" w:type="dxa"/>
          </w:tcPr>
          <w:p w14:paraId="6840CC32" w14:textId="27B0FA25" w:rsidR="007E3C35" w:rsidRPr="00B54A11" w:rsidRDefault="00B54A11" w:rsidP="007E3C35">
            <w:pPr>
              <w:rPr>
                <w:sz w:val="21"/>
                <w:szCs w:val="21"/>
              </w:rPr>
            </w:pPr>
            <w:r>
              <w:rPr>
                <w:sz w:val="21"/>
                <w:szCs w:val="21"/>
              </w:rPr>
              <w:t>Soutien à la proposition de majorité</w:t>
            </w:r>
          </w:p>
        </w:tc>
      </w:tr>
      <w:tr w:rsidR="006D62F7" w:rsidRPr="00717151" w14:paraId="4A300FD4" w14:textId="77777777" w:rsidTr="0077201D">
        <w:trPr>
          <w:trHeight w:val="510"/>
        </w:trPr>
        <w:tc>
          <w:tcPr>
            <w:tcW w:w="729" w:type="dxa"/>
          </w:tcPr>
          <w:p w14:paraId="08035FA0" w14:textId="74A2161C" w:rsidR="006D62F7" w:rsidRDefault="006D62F7" w:rsidP="006D62F7">
            <w:pPr>
              <w:rPr>
                <w:b/>
                <w:bCs/>
                <w:sz w:val="20"/>
                <w:szCs w:val="20"/>
              </w:rPr>
            </w:pPr>
            <w:r>
              <w:rPr>
                <w:b/>
                <w:bCs/>
                <w:sz w:val="20"/>
                <w:szCs w:val="20"/>
              </w:rPr>
              <w:t>73</w:t>
            </w:r>
          </w:p>
        </w:tc>
        <w:tc>
          <w:tcPr>
            <w:tcW w:w="708" w:type="dxa"/>
          </w:tcPr>
          <w:p w14:paraId="047842F6" w14:textId="09371F38" w:rsidR="006D62F7" w:rsidRPr="00A5371A" w:rsidRDefault="006D62F7" w:rsidP="006D62F7">
            <w:pPr>
              <w:rPr>
                <w:b/>
                <w:bCs/>
                <w:sz w:val="20"/>
                <w:szCs w:val="20"/>
              </w:rPr>
            </w:pPr>
            <w:r>
              <w:rPr>
                <w:b/>
                <w:bCs/>
                <w:sz w:val="20"/>
                <w:szCs w:val="20"/>
              </w:rPr>
              <w:t>4</w:t>
            </w:r>
          </w:p>
        </w:tc>
        <w:tc>
          <w:tcPr>
            <w:tcW w:w="708" w:type="dxa"/>
          </w:tcPr>
          <w:p w14:paraId="14AD95EF" w14:textId="77777777" w:rsidR="006D62F7" w:rsidRPr="00A5371A" w:rsidRDefault="006D62F7" w:rsidP="006D62F7">
            <w:pPr>
              <w:rPr>
                <w:b/>
                <w:bCs/>
                <w:sz w:val="20"/>
                <w:szCs w:val="20"/>
              </w:rPr>
            </w:pPr>
          </w:p>
        </w:tc>
        <w:tc>
          <w:tcPr>
            <w:tcW w:w="6650" w:type="dxa"/>
          </w:tcPr>
          <w:p w14:paraId="34589C8A" w14:textId="2DAD60FB" w:rsidR="00CA3469" w:rsidRDefault="006D62F7" w:rsidP="00EE1105">
            <w:pPr>
              <w:rPr>
                <w:sz w:val="21"/>
                <w:szCs w:val="21"/>
              </w:rPr>
            </w:pPr>
            <w:r w:rsidRPr="00B142F7">
              <w:rPr>
                <w:sz w:val="21"/>
                <w:szCs w:val="21"/>
              </w:rPr>
              <w:t xml:space="preserve">Le </w:t>
            </w:r>
            <w:r>
              <w:rPr>
                <w:sz w:val="21"/>
                <w:szCs w:val="21"/>
              </w:rPr>
              <w:t>GREA estime que la législation suisse en matière de cannabis doit prévoir de dépénaliser tout acte lié à la possession, à la consommation ou à la culture de cannabis à des fins d’</w:t>
            </w:r>
            <w:proofErr w:type="spellStart"/>
            <w:r>
              <w:rPr>
                <w:sz w:val="21"/>
                <w:szCs w:val="21"/>
              </w:rPr>
              <w:t>auto-approvisionnement</w:t>
            </w:r>
            <w:proofErr w:type="spellEnd"/>
            <w:r>
              <w:rPr>
                <w:sz w:val="21"/>
                <w:szCs w:val="21"/>
              </w:rPr>
              <w:t xml:space="preserve"> chez les mineurs. </w:t>
            </w:r>
            <w:r w:rsidR="00CA3469">
              <w:rPr>
                <w:sz w:val="21"/>
                <w:szCs w:val="21"/>
              </w:rPr>
              <w:t>Or, le rapport explicatif indique à la page 82, « La consommation de produits cannabiques étant interdite aux mineurs (…) ».</w:t>
            </w:r>
          </w:p>
          <w:p w14:paraId="591D29A5" w14:textId="77777777" w:rsidR="00CA3469" w:rsidRDefault="00CA3469" w:rsidP="00EE1105">
            <w:pPr>
              <w:rPr>
                <w:sz w:val="21"/>
                <w:szCs w:val="21"/>
              </w:rPr>
            </w:pPr>
          </w:p>
          <w:p w14:paraId="3E7F5654" w14:textId="4ED388D1" w:rsidR="006D62F7" w:rsidRDefault="006D62F7" w:rsidP="006D62F7">
            <w:pPr>
              <w:rPr>
                <w:sz w:val="21"/>
                <w:szCs w:val="21"/>
              </w:rPr>
            </w:pPr>
            <w:r>
              <w:rPr>
                <w:sz w:val="21"/>
                <w:szCs w:val="21"/>
              </w:rPr>
              <w:lastRenderedPageBreak/>
              <w:t>Cette dépénalisation des mineurs se justifie sur la base de nombreux arguments scientifiques :</w:t>
            </w:r>
          </w:p>
          <w:p w14:paraId="5A855BDD" w14:textId="77777777" w:rsidR="002C323E" w:rsidRPr="00B142F7" w:rsidRDefault="002C323E" w:rsidP="006D62F7">
            <w:pPr>
              <w:rPr>
                <w:sz w:val="21"/>
                <w:szCs w:val="21"/>
              </w:rPr>
            </w:pPr>
          </w:p>
          <w:p w14:paraId="361FB1E1" w14:textId="77777777" w:rsidR="006D62F7" w:rsidRDefault="006D62F7" w:rsidP="006D62F7">
            <w:pPr>
              <w:rPr>
                <w:sz w:val="21"/>
                <w:szCs w:val="21"/>
              </w:rPr>
            </w:pPr>
            <w:r w:rsidRPr="002C323E">
              <w:rPr>
                <w:sz w:val="21"/>
                <w:szCs w:val="21"/>
                <w:u w:val="single"/>
              </w:rPr>
              <w:t>Inefficacité et contre-productivité des sanctions :</w:t>
            </w:r>
            <w:r w:rsidRPr="001A25D7">
              <w:rPr>
                <w:sz w:val="21"/>
                <w:szCs w:val="21"/>
              </w:rPr>
              <w:t xml:space="preserve"> </w:t>
            </w:r>
            <w:r>
              <w:rPr>
                <w:sz w:val="21"/>
                <w:szCs w:val="21"/>
              </w:rPr>
              <w:t>l</w:t>
            </w:r>
            <w:r w:rsidRPr="001A25D7">
              <w:rPr>
                <w:sz w:val="21"/>
                <w:szCs w:val="21"/>
              </w:rPr>
              <w:t xml:space="preserve">es données scientifiques démontrent que </w:t>
            </w:r>
            <w:r>
              <w:rPr>
                <w:sz w:val="21"/>
                <w:szCs w:val="21"/>
              </w:rPr>
              <w:t>la criminalisation</w:t>
            </w:r>
            <w:r w:rsidRPr="001A25D7">
              <w:rPr>
                <w:sz w:val="21"/>
                <w:szCs w:val="21"/>
              </w:rPr>
              <w:t xml:space="preserve"> </w:t>
            </w:r>
            <w:r>
              <w:rPr>
                <w:sz w:val="21"/>
                <w:szCs w:val="21"/>
              </w:rPr>
              <w:t>d</w:t>
            </w:r>
            <w:r w:rsidRPr="001A25D7">
              <w:rPr>
                <w:sz w:val="21"/>
                <w:szCs w:val="21"/>
              </w:rPr>
              <w:t>es jeunes consommateurs n'a jamais réduit l</w:t>
            </w:r>
            <w:r>
              <w:rPr>
                <w:sz w:val="21"/>
                <w:szCs w:val="21"/>
              </w:rPr>
              <w:t>eur</w:t>
            </w:r>
            <w:r w:rsidRPr="001A25D7">
              <w:rPr>
                <w:sz w:val="21"/>
                <w:szCs w:val="21"/>
              </w:rPr>
              <w:t xml:space="preserve"> consommation, mais crée au contraire des barrières à l'accès aux soins et aux messages de prévention. Par crainte des sanctions, les jeunes évitent de demander de l'aide, aggravant les risques sanitaires et sociaux.</w:t>
            </w:r>
          </w:p>
          <w:p w14:paraId="3A979B5D" w14:textId="77777777" w:rsidR="002C323E" w:rsidRPr="001A25D7" w:rsidRDefault="002C323E" w:rsidP="006D62F7">
            <w:pPr>
              <w:rPr>
                <w:sz w:val="21"/>
                <w:szCs w:val="21"/>
              </w:rPr>
            </w:pPr>
          </w:p>
          <w:p w14:paraId="78F7C4A6" w14:textId="77777777" w:rsidR="006D62F7" w:rsidRDefault="006D62F7" w:rsidP="006D62F7">
            <w:pPr>
              <w:rPr>
                <w:sz w:val="21"/>
                <w:szCs w:val="21"/>
              </w:rPr>
            </w:pPr>
            <w:r w:rsidRPr="002C323E">
              <w:rPr>
                <w:sz w:val="21"/>
                <w:szCs w:val="21"/>
                <w:u w:val="single"/>
              </w:rPr>
              <w:t>Paradoxe de la "protection" punitive</w:t>
            </w:r>
            <w:r w:rsidRPr="002C323E">
              <w:rPr>
                <w:b/>
                <w:bCs/>
                <w:sz w:val="21"/>
                <w:szCs w:val="21"/>
                <w:u w:val="single"/>
              </w:rPr>
              <w:t xml:space="preserve"> :</w:t>
            </w:r>
            <w:r w:rsidRPr="001A25D7">
              <w:rPr>
                <w:sz w:val="21"/>
                <w:szCs w:val="21"/>
              </w:rPr>
              <w:t xml:space="preserve"> </w:t>
            </w:r>
            <w:r>
              <w:rPr>
                <w:sz w:val="21"/>
                <w:szCs w:val="21"/>
              </w:rPr>
              <w:t>i</w:t>
            </w:r>
            <w:r w:rsidRPr="001A25D7">
              <w:rPr>
                <w:sz w:val="21"/>
                <w:szCs w:val="21"/>
              </w:rPr>
              <w:t>l est contradictoire de vouloir protéger la jeunesse</w:t>
            </w:r>
            <w:r>
              <w:rPr>
                <w:sz w:val="21"/>
                <w:szCs w:val="21"/>
              </w:rPr>
              <w:t xml:space="preserve"> tout</w:t>
            </w:r>
            <w:r w:rsidRPr="001A25D7">
              <w:rPr>
                <w:sz w:val="21"/>
                <w:szCs w:val="21"/>
              </w:rPr>
              <w:t xml:space="preserve"> en </w:t>
            </w:r>
            <w:r>
              <w:rPr>
                <w:sz w:val="21"/>
                <w:szCs w:val="21"/>
              </w:rPr>
              <w:t xml:space="preserve">la </w:t>
            </w:r>
            <w:r w:rsidRPr="001A25D7">
              <w:rPr>
                <w:sz w:val="21"/>
                <w:szCs w:val="21"/>
              </w:rPr>
              <w:t xml:space="preserve">criminalisant. Cette approche stigmatise et marginalise précisément </w:t>
            </w:r>
            <w:r>
              <w:rPr>
                <w:sz w:val="21"/>
                <w:szCs w:val="21"/>
              </w:rPr>
              <w:t xml:space="preserve">celles et </w:t>
            </w:r>
            <w:r w:rsidRPr="001A25D7">
              <w:rPr>
                <w:sz w:val="21"/>
                <w:szCs w:val="21"/>
              </w:rPr>
              <w:t>ceux qu'elle prétend aider, compromettant leur développement personnel et leur insertion sociale future.</w:t>
            </w:r>
          </w:p>
          <w:p w14:paraId="73E89AC0" w14:textId="77777777" w:rsidR="002C323E" w:rsidRPr="001A25D7" w:rsidRDefault="002C323E" w:rsidP="006D62F7">
            <w:pPr>
              <w:rPr>
                <w:sz w:val="21"/>
                <w:szCs w:val="21"/>
              </w:rPr>
            </w:pPr>
          </w:p>
          <w:p w14:paraId="5440122F" w14:textId="77777777" w:rsidR="006D62F7" w:rsidRDefault="006D62F7" w:rsidP="006D62F7">
            <w:pPr>
              <w:rPr>
                <w:sz w:val="21"/>
                <w:szCs w:val="21"/>
              </w:rPr>
            </w:pPr>
            <w:r w:rsidRPr="002C323E">
              <w:rPr>
                <w:sz w:val="21"/>
                <w:szCs w:val="21"/>
                <w:u w:val="single"/>
              </w:rPr>
              <w:t>Succès des modèles de décriminalisation</w:t>
            </w:r>
            <w:r w:rsidRPr="002C323E">
              <w:rPr>
                <w:b/>
                <w:bCs/>
                <w:sz w:val="21"/>
                <w:szCs w:val="21"/>
                <w:u w:val="single"/>
              </w:rPr>
              <w:t xml:space="preserve"> :</w:t>
            </w:r>
            <w:r w:rsidRPr="001A25D7">
              <w:rPr>
                <w:sz w:val="21"/>
                <w:szCs w:val="21"/>
              </w:rPr>
              <w:t xml:space="preserve"> </w:t>
            </w:r>
            <w:r>
              <w:rPr>
                <w:sz w:val="21"/>
                <w:szCs w:val="21"/>
              </w:rPr>
              <w:t>l</w:t>
            </w:r>
            <w:r w:rsidRPr="001A25D7">
              <w:rPr>
                <w:sz w:val="21"/>
                <w:szCs w:val="21"/>
              </w:rPr>
              <w:t>es pays ayant adopté une approche de santé publique (Portugal, Pays-Bas) montrent une diminution significative de la consommation problématique chez les jeunes. L'accompagnement socio-éducatif s'avère plus efficace que les sanctions pour modifier les comportements à risque.</w:t>
            </w:r>
          </w:p>
          <w:p w14:paraId="6D4CFD1A" w14:textId="77777777" w:rsidR="00076260" w:rsidRPr="001A25D7" w:rsidRDefault="00076260" w:rsidP="006D62F7">
            <w:pPr>
              <w:rPr>
                <w:sz w:val="21"/>
                <w:szCs w:val="21"/>
              </w:rPr>
            </w:pPr>
          </w:p>
          <w:p w14:paraId="07A2711D" w14:textId="77777777" w:rsidR="00B407CF" w:rsidRDefault="006D62F7" w:rsidP="006D62F7">
            <w:pPr>
              <w:rPr>
                <w:sz w:val="21"/>
                <w:szCs w:val="21"/>
              </w:rPr>
            </w:pPr>
            <w:r w:rsidRPr="00076260">
              <w:rPr>
                <w:sz w:val="21"/>
                <w:szCs w:val="21"/>
                <w:u w:val="single"/>
              </w:rPr>
              <w:t>Cohérence du système légal :</w:t>
            </w:r>
            <w:r w:rsidRPr="001A25D7">
              <w:rPr>
                <w:sz w:val="21"/>
                <w:szCs w:val="21"/>
              </w:rPr>
              <w:t xml:space="preserve"> </w:t>
            </w:r>
            <w:r>
              <w:rPr>
                <w:sz w:val="21"/>
                <w:szCs w:val="21"/>
              </w:rPr>
              <w:t>s</w:t>
            </w:r>
            <w:r w:rsidRPr="001A25D7">
              <w:rPr>
                <w:sz w:val="21"/>
                <w:szCs w:val="21"/>
              </w:rPr>
              <w:t>i la consommation devient légale pour les adultes, criminaliser celle des mineurs crée une incohérence juridique. L'objectif doit être l'accompagnement spécialisé en addictologie et la réduction des risques, pas la punition.</w:t>
            </w:r>
            <w:r>
              <w:rPr>
                <w:sz w:val="21"/>
                <w:szCs w:val="21"/>
              </w:rPr>
              <w:t xml:space="preserve"> Par ailleurs, si la vente d’alcool et de produits du tabac est interdite de manière légitime aux mineurs, ceux-ci n’encourent aucun risque pénal s’ils en consomment. La norme doit être la même en matière de cannabis.</w:t>
            </w:r>
          </w:p>
          <w:p w14:paraId="390674E9" w14:textId="424C63EE" w:rsidR="006D62F7" w:rsidRPr="001A25D7" w:rsidRDefault="006D62F7" w:rsidP="006D62F7">
            <w:pPr>
              <w:rPr>
                <w:sz w:val="21"/>
                <w:szCs w:val="21"/>
              </w:rPr>
            </w:pPr>
            <w:r>
              <w:rPr>
                <w:sz w:val="21"/>
                <w:szCs w:val="21"/>
              </w:rPr>
              <w:t xml:space="preserve"> </w:t>
            </w:r>
          </w:p>
          <w:p w14:paraId="625DBF00" w14:textId="6B30416A" w:rsidR="006D62F7" w:rsidRPr="004D5964" w:rsidRDefault="006D62F7" w:rsidP="006D62F7">
            <w:pPr>
              <w:rPr>
                <w:sz w:val="21"/>
                <w:szCs w:val="21"/>
              </w:rPr>
            </w:pPr>
            <w:r>
              <w:rPr>
                <w:sz w:val="21"/>
                <w:szCs w:val="21"/>
              </w:rPr>
              <w:t>La</w:t>
            </w:r>
            <w:r w:rsidRPr="001A25D7">
              <w:rPr>
                <w:sz w:val="21"/>
                <w:szCs w:val="21"/>
              </w:rPr>
              <w:t xml:space="preserve"> décriminalisation permet de </w:t>
            </w:r>
            <w:r w:rsidRPr="00BB5184">
              <w:rPr>
                <w:sz w:val="21"/>
                <w:szCs w:val="21"/>
              </w:rPr>
              <w:t>réconcilier protection des mineurs et efficacité des politiques publiques, e</w:t>
            </w:r>
            <w:r w:rsidRPr="001A25D7">
              <w:rPr>
                <w:sz w:val="21"/>
                <w:szCs w:val="21"/>
              </w:rPr>
              <w:t>n privilégiant l'approche sanitaire et éducative sur la répression contre-productive.</w:t>
            </w:r>
            <w:r w:rsidR="00B407CF">
              <w:rPr>
                <w:sz w:val="21"/>
                <w:szCs w:val="21"/>
              </w:rPr>
              <w:t xml:space="preserve"> Le GREA propose </w:t>
            </w:r>
            <w:r w:rsidR="00B407CF">
              <w:rPr>
                <w:sz w:val="21"/>
                <w:szCs w:val="21"/>
              </w:rPr>
              <w:lastRenderedPageBreak/>
              <w:t xml:space="preserve">donc la création d’un nouvel alinéa 4 à l’art. 73 pour dépénaliser </w:t>
            </w:r>
            <w:r w:rsidR="00671878">
              <w:rPr>
                <w:sz w:val="21"/>
                <w:szCs w:val="21"/>
              </w:rPr>
              <w:t>les infractions commises par les mineurs.</w:t>
            </w:r>
          </w:p>
        </w:tc>
        <w:tc>
          <w:tcPr>
            <w:tcW w:w="5517" w:type="dxa"/>
          </w:tcPr>
          <w:p w14:paraId="6C907FC5" w14:textId="77777777" w:rsidR="003E6C60" w:rsidRPr="000B6E2A" w:rsidRDefault="003E6C60" w:rsidP="003E6C60">
            <w:pPr>
              <w:rPr>
                <w:b/>
                <w:bCs/>
                <w:sz w:val="21"/>
                <w:szCs w:val="21"/>
              </w:rPr>
            </w:pPr>
            <w:r w:rsidRPr="000B6E2A">
              <w:rPr>
                <w:b/>
                <w:bCs/>
                <w:sz w:val="21"/>
                <w:szCs w:val="21"/>
              </w:rPr>
              <w:lastRenderedPageBreak/>
              <w:t xml:space="preserve">Art. 73 </w:t>
            </w:r>
            <w:r w:rsidRPr="00B0039D">
              <w:rPr>
                <w:sz w:val="21"/>
                <w:szCs w:val="21"/>
              </w:rPr>
              <w:t>Actes punissables commis en dehors d'autorisations ou de concessions</w:t>
            </w:r>
          </w:p>
          <w:p w14:paraId="7E82A3AC" w14:textId="1E06A5A7" w:rsidR="003E6C60" w:rsidRPr="007D24E4" w:rsidRDefault="003E6C60" w:rsidP="003E6C60">
            <w:pPr>
              <w:rPr>
                <w:sz w:val="21"/>
                <w:szCs w:val="21"/>
              </w:rPr>
            </w:pPr>
          </w:p>
          <w:p w14:paraId="74CDE81B" w14:textId="4672D015" w:rsidR="003E6C60" w:rsidRPr="007D24E4" w:rsidRDefault="003E6C60" w:rsidP="003E6C60">
            <w:pPr>
              <w:rPr>
                <w:sz w:val="21"/>
                <w:szCs w:val="21"/>
              </w:rPr>
            </w:pPr>
            <w:r w:rsidRPr="007D24E4">
              <w:rPr>
                <w:bCs/>
                <w:sz w:val="21"/>
                <w:szCs w:val="21"/>
                <w:vertAlign w:val="superscript"/>
              </w:rPr>
              <w:t>4</w:t>
            </w:r>
            <w:r w:rsidRPr="007D24E4">
              <w:rPr>
                <w:sz w:val="21"/>
                <w:szCs w:val="21"/>
              </w:rPr>
              <w:t xml:space="preserve"> (nouveau) Les dispositions du présent chapitre ne s'appliquent pas aux personnes mineures au moment des faits pour les infractions liées à la possession, à la consommation ou à la culture de cannabis à des fins d'</w:t>
            </w:r>
            <w:proofErr w:type="spellStart"/>
            <w:r w:rsidRPr="007D24E4">
              <w:rPr>
                <w:sz w:val="21"/>
                <w:szCs w:val="21"/>
              </w:rPr>
              <w:t>auto-approvisionnement</w:t>
            </w:r>
            <w:proofErr w:type="spellEnd"/>
            <w:r w:rsidRPr="007D24E4">
              <w:rPr>
                <w:sz w:val="21"/>
                <w:szCs w:val="21"/>
              </w:rPr>
              <w:t>.</w:t>
            </w:r>
          </w:p>
          <w:p w14:paraId="41754049" w14:textId="77777777" w:rsidR="006D62F7" w:rsidRPr="005F234C" w:rsidRDefault="006D62F7" w:rsidP="006D62F7">
            <w:pPr>
              <w:rPr>
                <w:b/>
                <w:bCs/>
                <w:sz w:val="21"/>
                <w:szCs w:val="21"/>
              </w:rPr>
            </w:pPr>
          </w:p>
        </w:tc>
      </w:tr>
      <w:tr w:rsidR="006D62F7" w:rsidRPr="00717151" w14:paraId="12941D18" w14:textId="77777777" w:rsidTr="0077201D">
        <w:trPr>
          <w:trHeight w:val="510"/>
        </w:trPr>
        <w:tc>
          <w:tcPr>
            <w:tcW w:w="729" w:type="dxa"/>
          </w:tcPr>
          <w:p w14:paraId="3DA59682" w14:textId="7E1B8454" w:rsidR="006D62F7" w:rsidRDefault="00903286" w:rsidP="006D62F7">
            <w:pPr>
              <w:rPr>
                <w:b/>
                <w:bCs/>
                <w:sz w:val="20"/>
                <w:szCs w:val="20"/>
              </w:rPr>
            </w:pPr>
            <w:r>
              <w:rPr>
                <w:b/>
                <w:bCs/>
                <w:sz w:val="20"/>
                <w:szCs w:val="20"/>
              </w:rPr>
              <w:lastRenderedPageBreak/>
              <w:t>74</w:t>
            </w:r>
          </w:p>
        </w:tc>
        <w:tc>
          <w:tcPr>
            <w:tcW w:w="708" w:type="dxa"/>
          </w:tcPr>
          <w:p w14:paraId="148BD158" w14:textId="77777777" w:rsidR="006D62F7" w:rsidRPr="00A5371A" w:rsidRDefault="006D62F7" w:rsidP="006D62F7">
            <w:pPr>
              <w:rPr>
                <w:b/>
                <w:bCs/>
                <w:sz w:val="20"/>
                <w:szCs w:val="20"/>
              </w:rPr>
            </w:pPr>
          </w:p>
        </w:tc>
        <w:tc>
          <w:tcPr>
            <w:tcW w:w="708" w:type="dxa"/>
          </w:tcPr>
          <w:p w14:paraId="52EAE7D2" w14:textId="00B09789" w:rsidR="006D62F7" w:rsidRPr="00A5371A" w:rsidRDefault="00903286" w:rsidP="006D62F7">
            <w:pPr>
              <w:rPr>
                <w:b/>
                <w:bCs/>
                <w:sz w:val="20"/>
                <w:szCs w:val="20"/>
              </w:rPr>
            </w:pPr>
            <w:proofErr w:type="gramStart"/>
            <w:r>
              <w:rPr>
                <w:b/>
                <w:bCs/>
                <w:sz w:val="20"/>
                <w:szCs w:val="20"/>
              </w:rPr>
              <w:t>c</w:t>
            </w:r>
            <w:proofErr w:type="gramEnd"/>
          </w:p>
        </w:tc>
        <w:tc>
          <w:tcPr>
            <w:tcW w:w="6650" w:type="dxa"/>
          </w:tcPr>
          <w:p w14:paraId="18CC4EBD" w14:textId="14CBB666" w:rsidR="006D62F7" w:rsidRPr="004D5964" w:rsidRDefault="000A5A1D" w:rsidP="006D62F7">
            <w:pPr>
              <w:rPr>
                <w:sz w:val="21"/>
                <w:szCs w:val="21"/>
              </w:rPr>
            </w:pPr>
            <w:r>
              <w:rPr>
                <w:sz w:val="21"/>
                <w:szCs w:val="21"/>
              </w:rPr>
              <w:t>Soutien à la minorité</w:t>
            </w:r>
          </w:p>
        </w:tc>
        <w:tc>
          <w:tcPr>
            <w:tcW w:w="5517" w:type="dxa"/>
          </w:tcPr>
          <w:p w14:paraId="70F56E44" w14:textId="5AD05A34" w:rsidR="006D62F7" w:rsidRPr="00ED6A0B" w:rsidRDefault="00ED6A0B" w:rsidP="006D62F7">
            <w:pPr>
              <w:rPr>
                <w:sz w:val="21"/>
                <w:szCs w:val="21"/>
              </w:rPr>
            </w:pPr>
            <w:r>
              <w:rPr>
                <w:sz w:val="21"/>
                <w:szCs w:val="21"/>
              </w:rPr>
              <w:t>… cultive simultanément entre six et dix plantes de cannabis femelles…</w:t>
            </w:r>
          </w:p>
        </w:tc>
      </w:tr>
      <w:tr w:rsidR="006D62F7" w:rsidRPr="00717151" w14:paraId="2E577B3F" w14:textId="77777777" w:rsidTr="0077201D">
        <w:trPr>
          <w:trHeight w:val="510"/>
        </w:trPr>
        <w:tc>
          <w:tcPr>
            <w:tcW w:w="729" w:type="dxa"/>
          </w:tcPr>
          <w:p w14:paraId="65176A8F" w14:textId="1E407006" w:rsidR="006D62F7" w:rsidRDefault="00BA3F24" w:rsidP="006D62F7">
            <w:pPr>
              <w:rPr>
                <w:b/>
                <w:bCs/>
                <w:sz w:val="20"/>
                <w:szCs w:val="20"/>
              </w:rPr>
            </w:pPr>
            <w:r>
              <w:rPr>
                <w:b/>
                <w:bCs/>
                <w:sz w:val="20"/>
                <w:szCs w:val="20"/>
              </w:rPr>
              <w:t>81</w:t>
            </w:r>
          </w:p>
        </w:tc>
        <w:tc>
          <w:tcPr>
            <w:tcW w:w="708" w:type="dxa"/>
          </w:tcPr>
          <w:p w14:paraId="4E5FC9B6" w14:textId="29165BB7" w:rsidR="006D62F7" w:rsidRPr="00A5371A" w:rsidRDefault="00BA3F24" w:rsidP="006D62F7">
            <w:pPr>
              <w:rPr>
                <w:b/>
                <w:bCs/>
                <w:sz w:val="20"/>
                <w:szCs w:val="20"/>
              </w:rPr>
            </w:pPr>
            <w:r>
              <w:rPr>
                <w:b/>
                <w:bCs/>
                <w:sz w:val="20"/>
                <w:szCs w:val="20"/>
              </w:rPr>
              <w:t>5</w:t>
            </w:r>
          </w:p>
        </w:tc>
        <w:tc>
          <w:tcPr>
            <w:tcW w:w="708" w:type="dxa"/>
          </w:tcPr>
          <w:p w14:paraId="4BCA3C2F" w14:textId="77777777" w:rsidR="006D62F7" w:rsidRPr="00A5371A" w:rsidRDefault="006D62F7" w:rsidP="006D62F7">
            <w:pPr>
              <w:rPr>
                <w:b/>
                <w:bCs/>
                <w:sz w:val="20"/>
                <w:szCs w:val="20"/>
              </w:rPr>
            </w:pPr>
          </w:p>
        </w:tc>
        <w:tc>
          <w:tcPr>
            <w:tcW w:w="6650" w:type="dxa"/>
          </w:tcPr>
          <w:p w14:paraId="2873B496" w14:textId="6CBE4D17" w:rsidR="006D62F7" w:rsidRPr="004D5964" w:rsidRDefault="00A90825" w:rsidP="006D62F7">
            <w:pPr>
              <w:rPr>
                <w:sz w:val="21"/>
                <w:szCs w:val="21"/>
              </w:rPr>
            </w:pPr>
            <w:r>
              <w:rPr>
                <w:sz w:val="21"/>
                <w:szCs w:val="21"/>
              </w:rPr>
              <w:t>Pour les mêmes raisons que celles évoquées à l’art. 73, le GREA propose de créer un nouvel al. 5 à l’art. 81 afin que les autorités renoncent à toute poursuite pénale lorsque les infractions sont commises par des personnes mineures. Les autorités peuvent en revanche demander que des mesures d’accompagnement socio-éducatives, de prévention et de réduction des risques soient proposées à la personne mineure ayant commis l’infraction.</w:t>
            </w:r>
          </w:p>
        </w:tc>
        <w:tc>
          <w:tcPr>
            <w:tcW w:w="5517" w:type="dxa"/>
          </w:tcPr>
          <w:p w14:paraId="23EF6884" w14:textId="77777777" w:rsidR="00D24DE9" w:rsidRDefault="00D24DE9" w:rsidP="00D24DE9">
            <w:pPr>
              <w:rPr>
                <w:sz w:val="21"/>
                <w:szCs w:val="21"/>
              </w:rPr>
            </w:pPr>
            <w:r w:rsidRPr="0021114A">
              <w:rPr>
                <w:b/>
                <w:bCs/>
                <w:sz w:val="21"/>
                <w:szCs w:val="21"/>
              </w:rPr>
              <w:t xml:space="preserve">Art. 81 </w:t>
            </w:r>
            <w:r>
              <w:rPr>
                <w:sz w:val="21"/>
                <w:szCs w:val="21"/>
              </w:rPr>
              <w:t>Poursuite pénale</w:t>
            </w:r>
          </w:p>
          <w:p w14:paraId="0FB2D8F4" w14:textId="77777777" w:rsidR="00D24DE9" w:rsidRDefault="00D24DE9" w:rsidP="00D24DE9">
            <w:pPr>
              <w:rPr>
                <w:sz w:val="21"/>
                <w:szCs w:val="21"/>
              </w:rPr>
            </w:pPr>
          </w:p>
          <w:p w14:paraId="79E3AC57" w14:textId="1A446869" w:rsidR="006D62F7" w:rsidRPr="005F234C" w:rsidRDefault="00D24DE9" w:rsidP="00D24DE9">
            <w:pPr>
              <w:rPr>
                <w:b/>
                <w:bCs/>
                <w:sz w:val="21"/>
                <w:szCs w:val="21"/>
              </w:rPr>
            </w:pPr>
            <w:r w:rsidRPr="00745DB6">
              <w:rPr>
                <w:sz w:val="21"/>
                <w:szCs w:val="21"/>
                <w:vertAlign w:val="superscript"/>
              </w:rPr>
              <w:t>5</w:t>
            </w:r>
            <w:r>
              <w:rPr>
                <w:sz w:val="21"/>
                <w:szCs w:val="21"/>
              </w:rPr>
              <w:t xml:space="preserve"> (nouveau) Dans les cas d’</w:t>
            </w:r>
            <w:r w:rsidRPr="0021114A">
              <w:rPr>
                <w:sz w:val="21"/>
                <w:szCs w:val="21"/>
              </w:rPr>
              <w:t xml:space="preserve">infraction commise par une personne mineure, les autorités compétentes </w:t>
            </w:r>
            <w:r>
              <w:rPr>
                <w:sz w:val="21"/>
                <w:szCs w:val="21"/>
              </w:rPr>
              <w:t xml:space="preserve">renoncent la poursuite pénale. Elles </w:t>
            </w:r>
            <w:r w:rsidRPr="0021114A">
              <w:rPr>
                <w:sz w:val="21"/>
                <w:szCs w:val="21"/>
              </w:rPr>
              <w:t>privilégient des mesures d'accompagnement socio-éducatives, de prévention et de réduction des risques en collaboration avec les services spécialisés en addictologie</w:t>
            </w:r>
          </w:p>
        </w:tc>
      </w:tr>
      <w:tr w:rsidR="004801AA" w:rsidRPr="00717151" w14:paraId="1D376029" w14:textId="77777777" w:rsidTr="0077201D">
        <w:trPr>
          <w:trHeight w:val="510"/>
        </w:trPr>
        <w:tc>
          <w:tcPr>
            <w:tcW w:w="729" w:type="dxa"/>
          </w:tcPr>
          <w:p w14:paraId="2226701B" w14:textId="532318F0" w:rsidR="004801AA" w:rsidRDefault="001967FD" w:rsidP="006D62F7">
            <w:pPr>
              <w:rPr>
                <w:b/>
                <w:bCs/>
                <w:sz w:val="20"/>
                <w:szCs w:val="20"/>
              </w:rPr>
            </w:pPr>
            <w:r>
              <w:rPr>
                <w:b/>
                <w:bCs/>
                <w:sz w:val="20"/>
                <w:szCs w:val="20"/>
              </w:rPr>
              <w:t>81 bis</w:t>
            </w:r>
          </w:p>
        </w:tc>
        <w:tc>
          <w:tcPr>
            <w:tcW w:w="708" w:type="dxa"/>
          </w:tcPr>
          <w:p w14:paraId="37A778CD" w14:textId="77777777" w:rsidR="004801AA" w:rsidRDefault="004801AA" w:rsidP="006D62F7">
            <w:pPr>
              <w:rPr>
                <w:b/>
                <w:bCs/>
                <w:sz w:val="20"/>
                <w:szCs w:val="20"/>
              </w:rPr>
            </w:pPr>
          </w:p>
        </w:tc>
        <w:tc>
          <w:tcPr>
            <w:tcW w:w="708" w:type="dxa"/>
          </w:tcPr>
          <w:p w14:paraId="2ED224C5" w14:textId="77777777" w:rsidR="004801AA" w:rsidRPr="00A5371A" w:rsidRDefault="004801AA" w:rsidP="006D62F7">
            <w:pPr>
              <w:rPr>
                <w:b/>
                <w:bCs/>
                <w:sz w:val="20"/>
                <w:szCs w:val="20"/>
              </w:rPr>
            </w:pPr>
          </w:p>
        </w:tc>
        <w:tc>
          <w:tcPr>
            <w:tcW w:w="6650" w:type="dxa"/>
          </w:tcPr>
          <w:p w14:paraId="4ED95A4E" w14:textId="58920FD8" w:rsidR="004801AA" w:rsidRDefault="008B5F67" w:rsidP="006D62F7">
            <w:pPr>
              <w:rPr>
                <w:sz w:val="21"/>
                <w:szCs w:val="21"/>
              </w:rPr>
            </w:pPr>
            <w:r>
              <w:rPr>
                <w:sz w:val="21"/>
                <w:szCs w:val="21"/>
              </w:rPr>
              <w:t xml:space="preserve">Comme mentionné à l’art. 1, des mesures permettant </w:t>
            </w:r>
            <w:r w:rsidRPr="00BB5184">
              <w:rPr>
                <w:sz w:val="21"/>
                <w:szCs w:val="21"/>
              </w:rPr>
              <w:t>le soutien à une transition équitable</w:t>
            </w:r>
            <w:r>
              <w:rPr>
                <w:b/>
                <w:bCs/>
                <w:sz w:val="21"/>
                <w:szCs w:val="21"/>
              </w:rPr>
              <w:t xml:space="preserve"> </w:t>
            </w:r>
            <w:r>
              <w:rPr>
                <w:sz w:val="21"/>
                <w:szCs w:val="21"/>
              </w:rPr>
              <w:t>font défaut :</w:t>
            </w:r>
            <w:r w:rsidRPr="00CC168E">
              <w:rPr>
                <w:sz w:val="21"/>
                <w:szCs w:val="21"/>
              </w:rPr>
              <w:t xml:space="preserve"> </w:t>
            </w:r>
            <w:r>
              <w:rPr>
                <w:sz w:val="21"/>
                <w:szCs w:val="21"/>
              </w:rPr>
              <w:t xml:space="preserve">l’avant-projet ne fait </w:t>
            </w:r>
            <w:r w:rsidRPr="00CC168E">
              <w:rPr>
                <w:sz w:val="21"/>
                <w:szCs w:val="21"/>
              </w:rPr>
              <w:t>aucune mention de réparations pour les personnes condamnées ou d'accompagnement vers l'économie légale</w:t>
            </w:r>
            <w:r>
              <w:rPr>
                <w:sz w:val="21"/>
                <w:szCs w:val="21"/>
              </w:rPr>
              <w:t xml:space="preserve">. Il oublie de reconnaître </w:t>
            </w:r>
            <w:r w:rsidRPr="001C5EB8">
              <w:rPr>
                <w:sz w:val="21"/>
                <w:szCs w:val="21"/>
              </w:rPr>
              <w:t>que l</w:t>
            </w:r>
            <w:r>
              <w:rPr>
                <w:sz w:val="21"/>
                <w:szCs w:val="21"/>
              </w:rPr>
              <w:t xml:space="preserve">’interdiction et la criminalisation du cannabis </w:t>
            </w:r>
            <w:r w:rsidRPr="001C5EB8">
              <w:rPr>
                <w:sz w:val="21"/>
                <w:szCs w:val="21"/>
              </w:rPr>
              <w:t>a causé plus de dégâts que le cannabis lui-même</w:t>
            </w:r>
            <w:r>
              <w:rPr>
                <w:sz w:val="21"/>
                <w:szCs w:val="21"/>
              </w:rPr>
              <w:t>. Le GREA propose de créer un nouvel article 81 bis qui permette aux autorités de poursuite pénale de proposer des mesures d’accompagnement aux personnes vivant grâce au marché illégal du cannabis afin de les aider à s’insérer dans l’économie légale. De telles mesures visent également à empêcher que ces personnes ne se tournent vers la vente illégale d’autres substances plus dangereuses.</w:t>
            </w:r>
          </w:p>
        </w:tc>
        <w:tc>
          <w:tcPr>
            <w:tcW w:w="5517" w:type="dxa"/>
          </w:tcPr>
          <w:p w14:paraId="6157B8A9" w14:textId="198B0689" w:rsidR="00DB44B5" w:rsidRPr="00AE363F" w:rsidRDefault="00DB44B5" w:rsidP="00DB44B5">
            <w:pPr>
              <w:rPr>
                <w:b/>
                <w:bCs/>
                <w:sz w:val="21"/>
                <w:szCs w:val="21"/>
              </w:rPr>
            </w:pPr>
            <w:r w:rsidRPr="00AE363F">
              <w:rPr>
                <w:b/>
                <w:bCs/>
                <w:sz w:val="21"/>
                <w:szCs w:val="21"/>
              </w:rPr>
              <w:t xml:space="preserve">Art. 81bis </w:t>
            </w:r>
            <w:r>
              <w:rPr>
                <w:b/>
                <w:bCs/>
                <w:sz w:val="21"/>
                <w:szCs w:val="21"/>
              </w:rPr>
              <w:t xml:space="preserve">(nouveau) </w:t>
            </w:r>
            <w:r w:rsidRPr="00983E2A">
              <w:rPr>
                <w:sz w:val="21"/>
                <w:szCs w:val="21"/>
              </w:rPr>
              <w:t>Mesures alternatives</w:t>
            </w:r>
          </w:p>
          <w:p w14:paraId="7D5420BB" w14:textId="27881EEE" w:rsidR="00DB44B5" w:rsidRPr="00AE363F" w:rsidRDefault="00DB44B5" w:rsidP="00DB44B5">
            <w:pPr>
              <w:rPr>
                <w:sz w:val="21"/>
                <w:szCs w:val="21"/>
              </w:rPr>
            </w:pPr>
            <w:r w:rsidRPr="00DB44B5">
              <w:rPr>
                <w:sz w:val="21"/>
                <w:szCs w:val="21"/>
                <w:vertAlign w:val="superscript"/>
              </w:rPr>
              <w:t xml:space="preserve">1 </w:t>
            </w:r>
            <w:r w:rsidRPr="00AE363F">
              <w:rPr>
                <w:sz w:val="21"/>
                <w:szCs w:val="21"/>
              </w:rPr>
              <w:t xml:space="preserve">L'autorité de poursuite pénale peut proposer des mesures d'accompagnement </w:t>
            </w:r>
            <w:r w:rsidR="000363CA">
              <w:rPr>
                <w:sz w:val="21"/>
                <w:szCs w:val="21"/>
              </w:rPr>
              <w:t>vers le marché du travail</w:t>
            </w:r>
            <w:r w:rsidRPr="00AE363F">
              <w:rPr>
                <w:sz w:val="21"/>
                <w:szCs w:val="21"/>
              </w:rPr>
              <w:t xml:space="preserve"> aux personnes </w:t>
            </w:r>
            <w:r w:rsidR="000363CA">
              <w:rPr>
                <w:sz w:val="21"/>
                <w:szCs w:val="21"/>
              </w:rPr>
              <w:t>précédemment actives dans le</w:t>
            </w:r>
            <w:r w:rsidRPr="00AE363F">
              <w:rPr>
                <w:sz w:val="21"/>
                <w:szCs w:val="21"/>
              </w:rPr>
              <w:t xml:space="preserve"> marché illégal.</w:t>
            </w:r>
          </w:p>
          <w:p w14:paraId="036A39C8" w14:textId="1F789102" w:rsidR="004801AA" w:rsidRPr="0021114A" w:rsidRDefault="00DB44B5" w:rsidP="00DB44B5">
            <w:pPr>
              <w:rPr>
                <w:b/>
                <w:bCs/>
                <w:sz w:val="21"/>
                <w:szCs w:val="21"/>
              </w:rPr>
            </w:pPr>
            <w:r w:rsidRPr="00E9142A">
              <w:rPr>
                <w:sz w:val="21"/>
                <w:szCs w:val="21"/>
                <w:vertAlign w:val="superscript"/>
              </w:rPr>
              <w:t>2</w:t>
            </w:r>
            <w:r w:rsidRPr="00AE363F">
              <w:rPr>
                <w:sz w:val="21"/>
                <w:szCs w:val="21"/>
              </w:rPr>
              <w:t xml:space="preserve"> Ces mesures peuvent inclure une formation, un soutien administratif ou financier pour l'obtention d'autorisations légales.</w:t>
            </w:r>
          </w:p>
        </w:tc>
      </w:tr>
      <w:tr w:rsidR="002021F5" w:rsidRPr="00717151" w14:paraId="546BFEA5" w14:textId="77777777" w:rsidTr="0077201D">
        <w:trPr>
          <w:trHeight w:val="510"/>
        </w:trPr>
        <w:tc>
          <w:tcPr>
            <w:tcW w:w="729" w:type="dxa"/>
          </w:tcPr>
          <w:p w14:paraId="6370C3D6" w14:textId="5434EAC5" w:rsidR="002021F5" w:rsidRDefault="002021F5" w:rsidP="006D62F7">
            <w:pPr>
              <w:rPr>
                <w:b/>
                <w:bCs/>
                <w:sz w:val="20"/>
                <w:szCs w:val="20"/>
              </w:rPr>
            </w:pPr>
            <w:r>
              <w:rPr>
                <w:b/>
                <w:bCs/>
                <w:sz w:val="20"/>
                <w:szCs w:val="20"/>
              </w:rPr>
              <w:t>8</w:t>
            </w:r>
            <w:r w:rsidR="001967FD">
              <w:rPr>
                <w:b/>
                <w:bCs/>
                <w:sz w:val="20"/>
                <w:szCs w:val="20"/>
              </w:rPr>
              <w:t>2</w:t>
            </w:r>
            <w:r>
              <w:rPr>
                <w:b/>
                <w:bCs/>
                <w:sz w:val="20"/>
                <w:szCs w:val="20"/>
              </w:rPr>
              <w:t xml:space="preserve"> bis</w:t>
            </w:r>
          </w:p>
        </w:tc>
        <w:tc>
          <w:tcPr>
            <w:tcW w:w="708" w:type="dxa"/>
          </w:tcPr>
          <w:p w14:paraId="7815D96E" w14:textId="77777777" w:rsidR="002021F5" w:rsidRDefault="002021F5" w:rsidP="006D62F7">
            <w:pPr>
              <w:rPr>
                <w:b/>
                <w:bCs/>
                <w:sz w:val="20"/>
                <w:szCs w:val="20"/>
              </w:rPr>
            </w:pPr>
          </w:p>
        </w:tc>
        <w:tc>
          <w:tcPr>
            <w:tcW w:w="708" w:type="dxa"/>
          </w:tcPr>
          <w:p w14:paraId="7943585A" w14:textId="77777777" w:rsidR="002021F5" w:rsidRPr="00A5371A" w:rsidRDefault="002021F5" w:rsidP="006D62F7">
            <w:pPr>
              <w:rPr>
                <w:b/>
                <w:bCs/>
                <w:sz w:val="20"/>
                <w:szCs w:val="20"/>
              </w:rPr>
            </w:pPr>
          </w:p>
        </w:tc>
        <w:tc>
          <w:tcPr>
            <w:tcW w:w="6650" w:type="dxa"/>
          </w:tcPr>
          <w:p w14:paraId="27A17D97" w14:textId="10BE6986" w:rsidR="002021F5" w:rsidRDefault="00FD7A1E" w:rsidP="006D62F7">
            <w:pPr>
              <w:rPr>
                <w:sz w:val="21"/>
                <w:szCs w:val="21"/>
              </w:rPr>
            </w:pPr>
            <w:r>
              <w:rPr>
                <w:sz w:val="21"/>
                <w:szCs w:val="21"/>
              </w:rPr>
              <w:t xml:space="preserve">Comme mentionné </w:t>
            </w:r>
            <w:r w:rsidR="000363CA">
              <w:rPr>
                <w:sz w:val="21"/>
                <w:szCs w:val="21"/>
              </w:rPr>
              <w:t>aux</w:t>
            </w:r>
            <w:r>
              <w:rPr>
                <w:sz w:val="21"/>
                <w:szCs w:val="21"/>
              </w:rPr>
              <w:t xml:space="preserve"> art. 1</w:t>
            </w:r>
            <w:r w:rsidR="000363CA">
              <w:rPr>
                <w:sz w:val="21"/>
                <w:szCs w:val="21"/>
              </w:rPr>
              <w:t xml:space="preserve"> et 81 bis</w:t>
            </w:r>
            <w:r>
              <w:rPr>
                <w:sz w:val="21"/>
                <w:szCs w:val="21"/>
              </w:rPr>
              <w:t>, l’avant-projet de loi oublie de restaurer les torts commis aux personnes condamnées inutilement jusqu’ici pour des infractions liées au cannabis. Le GREA demande la création d’un nouvel article permettant d’abandonner les poursuites pénales en cours contre des faits qui ne seront plus punissables selon l’avant-projet ainsi que la radiation de telles infractions des casiers judiciaires.</w:t>
            </w:r>
          </w:p>
        </w:tc>
        <w:tc>
          <w:tcPr>
            <w:tcW w:w="5517" w:type="dxa"/>
          </w:tcPr>
          <w:p w14:paraId="4D474FB6" w14:textId="417C07FB" w:rsidR="00853065" w:rsidRPr="003404F7" w:rsidRDefault="00853065" w:rsidP="00853065">
            <w:pPr>
              <w:rPr>
                <w:b/>
                <w:bCs/>
                <w:sz w:val="21"/>
                <w:szCs w:val="21"/>
              </w:rPr>
            </w:pPr>
            <w:r w:rsidRPr="003404F7">
              <w:rPr>
                <w:b/>
                <w:bCs/>
                <w:sz w:val="21"/>
                <w:szCs w:val="21"/>
              </w:rPr>
              <w:t xml:space="preserve">Art. </w:t>
            </w:r>
            <w:r>
              <w:rPr>
                <w:b/>
                <w:bCs/>
                <w:sz w:val="21"/>
                <w:szCs w:val="21"/>
              </w:rPr>
              <w:t>82</w:t>
            </w:r>
            <w:r w:rsidRPr="003404F7">
              <w:rPr>
                <w:b/>
                <w:bCs/>
                <w:sz w:val="21"/>
                <w:szCs w:val="21"/>
              </w:rPr>
              <w:t xml:space="preserve">bis </w:t>
            </w:r>
            <w:r>
              <w:rPr>
                <w:b/>
                <w:bCs/>
                <w:sz w:val="21"/>
                <w:szCs w:val="21"/>
              </w:rPr>
              <w:t xml:space="preserve">(nouveau) </w:t>
            </w:r>
            <w:r w:rsidRPr="00196697">
              <w:rPr>
                <w:sz w:val="21"/>
                <w:szCs w:val="21"/>
              </w:rPr>
              <w:t>Mesures transitoires pénales</w:t>
            </w:r>
          </w:p>
          <w:p w14:paraId="43C9DE0C" w14:textId="77777777" w:rsidR="00853065" w:rsidRPr="003404F7" w:rsidRDefault="00853065" w:rsidP="00853065">
            <w:pPr>
              <w:rPr>
                <w:sz w:val="21"/>
                <w:szCs w:val="21"/>
              </w:rPr>
            </w:pPr>
            <w:r w:rsidRPr="00853065">
              <w:rPr>
                <w:sz w:val="21"/>
                <w:szCs w:val="21"/>
                <w:vertAlign w:val="superscript"/>
              </w:rPr>
              <w:t xml:space="preserve">1 </w:t>
            </w:r>
            <w:r w:rsidRPr="003404F7">
              <w:rPr>
                <w:sz w:val="21"/>
                <w:szCs w:val="21"/>
              </w:rPr>
              <w:t>Les procédures pénales en cours pour des faits qui ne sont plus punissables selon la présente loi sont abandonnées.</w:t>
            </w:r>
          </w:p>
          <w:p w14:paraId="32583F89" w14:textId="77777777" w:rsidR="00853065" w:rsidRPr="003404F7" w:rsidRDefault="00853065" w:rsidP="00853065">
            <w:pPr>
              <w:rPr>
                <w:sz w:val="21"/>
                <w:szCs w:val="21"/>
              </w:rPr>
            </w:pPr>
            <w:r w:rsidRPr="00853065">
              <w:rPr>
                <w:sz w:val="21"/>
                <w:szCs w:val="21"/>
                <w:vertAlign w:val="superscript"/>
              </w:rPr>
              <w:t>2</w:t>
            </w:r>
            <w:r w:rsidRPr="003404F7">
              <w:rPr>
                <w:sz w:val="21"/>
                <w:szCs w:val="21"/>
              </w:rPr>
              <w:t xml:space="preserve"> Les condamnations prononcées pour possession, consommation ou culture de cannabis à des fins personnelles sont radiées du casier judiciaire.</w:t>
            </w:r>
          </w:p>
          <w:p w14:paraId="795BDE4C" w14:textId="7E8A480D" w:rsidR="002021F5" w:rsidRPr="0021114A" w:rsidRDefault="00853065" w:rsidP="00853065">
            <w:pPr>
              <w:rPr>
                <w:b/>
                <w:bCs/>
                <w:sz w:val="21"/>
                <w:szCs w:val="21"/>
              </w:rPr>
            </w:pPr>
            <w:r w:rsidRPr="00853065">
              <w:rPr>
                <w:sz w:val="21"/>
                <w:szCs w:val="21"/>
                <w:vertAlign w:val="superscript"/>
              </w:rPr>
              <w:t>3</w:t>
            </w:r>
            <w:r>
              <w:rPr>
                <w:sz w:val="21"/>
                <w:szCs w:val="21"/>
              </w:rPr>
              <w:t xml:space="preserve"> </w:t>
            </w:r>
            <w:r w:rsidRPr="004343B2">
              <w:rPr>
                <w:sz w:val="21"/>
                <w:szCs w:val="21"/>
              </w:rPr>
              <w:t>Le Conseil fédéral règle les modalités de réhabilitation et peut prévoir des mesures d'indemnisation.</w:t>
            </w:r>
          </w:p>
        </w:tc>
      </w:tr>
      <w:tr w:rsidR="000B4E5F" w:rsidRPr="00717151" w14:paraId="4FEF778C" w14:textId="77777777" w:rsidTr="0077201D">
        <w:trPr>
          <w:trHeight w:val="510"/>
        </w:trPr>
        <w:tc>
          <w:tcPr>
            <w:tcW w:w="729" w:type="dxa"/>
          </w:tcPr>
          <w:p w14:paraId="491D186C" w14:textId="77777777" w:rsidR="000B4E5F" w:rsidRDefault="000B4E5F" w:rsidP="006D62F7">
            <w:pPr>
              <w:rPr>
                <w:b/>
                <w:bCs/>
                <w:sz w:val="20"/>
                <w:szCs w:val="20"/>
              </w:rPr>
            </w:pPr>
          </w:p>
        </w:tc>
        <w:tc>
          <w:tcPr>
            <w:tcW w:w="708" w:type="dxa"/>
          </w:tcPr>
          <w:p w14:paraId="7C3EBCE0" w14:textId="77777777" w:rsidR="000B4E5F" w:rsidRDefault="000B4E5F" w:rsidP="006D62F7">
            <w:pPr>
              <w:rPr>
                <w:b/>
                <w:bCs/>
                <w:sz w:val="20"/>
                <w:szCs w:val="20"/>
              </w:rPr>
            </w:pPr>
          </w:p>
        </w:tc>
        <w:tc>
          <w:tcPr>
            <w:tcW w:w="708" w:type="dxa"/>
          </w:tcPr>
          <w:p w14:paraId="0DE0CED2" w14:textId="77777777" w:rsidR="000B4E5F" w:rsidRPr="00A5371A" w:rsidRDefault="000B4E5F" w:rsidP="006D62F7">
            <w:pPr>
              <w:rPr>
                <w:b/>
                <w:bCs/>
                <w:sz w:val="20"/>
                <w:szCs w:val="20"/>
              </w:rPr>
            </w:pPr>
          </w:p>
        </w:tc>
        <w:tc>
          <w:tcPr>
            <w:tcW w:w="6650" w:type="dxa"/>
          </w:tcPr>
          <w:p w14:paraId="4564CFFB" w14:textId="77777777" w:rsidR="000B4E5F" w:rsidRDefault="000B4E5F" w:rsidP="006D62F7">
            <w:pPr>
              <w:rPr>
                <w:sz w:val="21"/>
                <w:szCs w:val="21"/>
                <w:lang w:val="fr-FR"/>
              </w:rPr>
            </w:pPr>
            <w:r w:rsidRPr="000B4E5F">
              <w:rPr>
                <w:b/>
                <w:bCs/>
                <w:i/>
                <w:iCs/>
                <w:sz w:val="21"/>
                <w:szCs w:val="21"/>
                <w:lang w:val="fr-FR"/>
              </w:rPr>
              <w:t>Loi fédérale du 19 décembre 1958 sur la circulation routière</w:t>
            </w:r>
          </w:p>
          <w:p w14:paraId="66C1FF52" w14:textId="34852205" w:rsidR="0087216F" w:rsidRDefault="0087216F" w:rsidP="0087216F">
            <w:pPr>
              <w:rPr>
                <w:sz w:val="21"/>
                <w:szCs w:val="21"/>
              </w:rPr>
            </w:pPr>
            <w:r w:rsidRPr="0087216F">
              <w:rPr>
                <w:sz w:val="21"/>
                <w:szCs w:val="21"/>
              </w:rPr>
              <w:t>Le GREA ne propose pas d'amendement spécifique à ce stade, considérant que cette question nécessite une approche scientifique approfondie que la procédure législative actuelle ne permet pas d'accomplir correctement. En effet, proposer des seuils spécifiques sans base scientifique solide reviendrait à reproduire l'erreur actuelle qui consiste à fixer des limites arbitraires. Le seuil actuel de 1,5 μg/L n'a jamais été scientifiquement validé comme indicateur fiable d'altération des capacités de conduite - il s'agit d'une limite purement technique correspondant au seuil de détection analytique. De plus, les enjeux sont particulièrement complexes s'agissant du cannabis : contrairement à l'alcool où existe une corrélation relativement linéaire entre taux sanguin et altération, le THC présente des caractéristiques pharmacocinétiques uniques avec une persistance prolongée dans le sang après disparition des effets, une variabilité interindividuelle importante, et des différences selon le mode de consommation.</w:t>
            </w:r>
          </w:p>
          <w:p w14:paraId="11AC2A58" w14:textId="77777777" w:rsidR="0087216F" w:rsidRPr="0087216F" w:rsidRDefault="0087216F" w:rsidP="0087216F">
            <w:pPr>
              <w:rPr>
                <w:sz w:val="21"/>
                <w:szCs w:val="21"/>
              </w:rPr>
            </w:pPr>
          </w:p>
          <w:p w14:paraId="3B6CEDAB" w14:textId="77777777" w:rsidR="0087216F" w:rsidRPr="0087216F" w:rsidRDefault="0087216F" w:rsidP="0087216F">
            <w:pPr>
              <w:rPr>
                <w:sz w:val="21"/>
                <w:szCs w:val="21"/>
              </w:rPr>
            </w:pPr>
            <w:r w:rsidRPr="0087216F">
              <w:rPr>
                <w:sz w:val="21"/>
                <w:szCs w:val="21"/>
              </w:rPr>
              <w:t>Une fois la loi acceptée, la Confédération doit rapidement mandater des études scientifiques indépendantes pour établir la corrélation réelle entre taux de THC sanguin et altération des capacités, déterminer les seuils pertinents basés sur l'</w:t>
            </w:r>
            <w:proofErr w:type="spellStart"/>
            <w:r w:rsidRPr="0087216F">
              <w:rPr>
                <w:sz w:val="21"/>
                <w:szCs w:val="21"/>
              </w:rPr>
              <w:t>evidence</w:t>
            </w:r>
            <w:proofErr w:type="spellEnd"/>
            <w:r w:rsidRPr="0087216F">
              <w:rPr>
                <w:sz w:val="21"/>
                <w:szCs w:val="21"/>
              </w:rPr>
              <w:t xml:space="preserve"> scientifique, et analyser les différences individuelles de métabolisation. Sur cette base, elle devra réviser la réglementation pour établir des seuils scientifiquement fondés, adapter les sanctions à la réalité du risque, et garantir la proportionnalité des mesures. Cette démarche devra s'accompagner d'une harmonisation avec les meilleures pratiques internationales en s'inspirant des juridictions ayant développé des approches basées sur l'</w:t>
            </w:r>
            <w:proofErr w:type="spellStart"/>
            <w:r w:rsidRPr="0087216F">
              <w:rPr>
                <w:sz w:val="21"/>
                <w:szCs w:val="21"/>
              </w:rPr>
              <w:t>evidence</w:t>
            </w:r>
            <w:proofErr w:type="spellEnd"/>
            <w:r w:rsidRPr="0087216F">
              <w:rPr>
                <w:sz w:val="21"/>
                <w:szCs w:val="21"/>
              </w:rPr>
              <w:t xml:space="preserve">. En attendant cette révision nécessaire, le GREA soutient conditionnellement la minorité </w:t>
            </w:r>
            <w:proofErr w:type="spellStart"/>
            <w:r w:rsidRPr="0087216F">
              <w:rPr>
                <w:sz w:val="21"/>
                <w:szCs w:val="21"/>
              </w:rPr>
              <w:t>Gysi</w:t>
            </w:r>
            <w:proofErr w:type="spellEnd"/>
            <w:r w:rsidRPr="0087216F">
              <w:rPr>
                <w:sz w:val="21"/>
                <w:szCs w:val="21"/>
              </w:rPr>
              <w:t xml:space="preserve"> comme un moindre mal, tout en soulignant que cette solution reste imparfaite et devra être rapidement révisée selon les dernières connaissances scientifiques disponibles.</w:t>
            </w:r>
          </w:p>
          <w:p w14:paraId="2C1F3AEE" w14:textId="77777777" w:rsidR="000B4E5F" w:rsidRDefault="000B4E5F" w:rsidP="006D62F7">
            <w:pPr>
              <w:rPr>
                <w:sz w:val="21"/>
                <w:szCs w:val="21"/>
              </w:rPr>
            </w:pPr>
          </w:p>
          <w:p w14:paraId="046B01EB" w14:textId="3C844723" w:rsidR="00D325D3" w:rsidRPr="000B4E5F" w:rsidRDefault="00D325D3" w:rsidP="006D62F7">
            <w:pPr>
              <w:rPr>
                <w:sz w:val="21"/>
                <w:szCs w:val="21"/>
              </w:rPr>
            </w:pPr>
            <w:r w:rsidRPr="00681613">
              <w:rPr>
                <w:sz w:val="21"/>
                <w:szCs w:val="21"/>
              </w:rPr>
              <w:t>Cette approche s'inscrit pleinement dans la philosophie de réduction des risques que défend le GREA. En effet, maintenir une approche de tolérance zéro non fondée scientifiquement risque paradoxalement d'augmenter les risques pour la sécurité routière en poussant les consommateurs vers des comportements d'évitement irrationnels plutôt que vers une consommation responsable. Une politique de réduction des risques efficace doit permettre aux usagers de cannabis légal de prendre des décisions éclairées sur leur capacité à conduire, basées sur des informations scientifiquement validées plutôt que sur des interdictions arbitraires qui sapent la crédibilité de l'ensemble du message de prévention.</w:t>
            </w:r>
          </w:p>
        </w:tc>
        <w:tc>
          <w:tcPr>
            <w:tcW w:w="5517" w:type="dxa"/>
          </w:tcPr>
          <w:p w14:paraId="18354D9E" w14:textId="0D5B5F14" w:rsidR="000B4E5F" w:rsidRPr="003404F7" w:rsidRDefault="00872E75" w:rsidP="00853065">
            <w:pPr>
              <w:rPr>
                <w:b/>
                <w:bCs/>
                <w:sz w:val="21"/>
                <w:szCs w:val="21"/>
              </w:rPr>
            </w:pPr>
            <w:r>
              <w:rPr>
                <w:sz w:val="21"/>
                <w:szCs w:val="21"/>
              </w:rPr>
              <w:lastRenderedPageBreak/>
              <w:t>S</w:t>
            </w:r>
            <w:r w:rsidRPr="0087216F">
              <w:rPr>
                <w:sz w:val="21"/>
                <w:szCs w:val="21"/>
              </w:rPr>
              <w:t>outient conditionnel</w:t>
            </w:r>
            <w:r>
              <w:rPr>
                <w:sz w:val="21"/>
                <w:szCs w:val="21"/>
              </w:rPr>
              <w:t xml:space="preserve"> à</w:t>
            </w:r>
            <w:r w:rsidRPr="0087216F">
              <w:rPr>
                <w:sz w:val="21"/>
                <w:szCs w:val="21"/>
              </w:rPr>
              <w:t xml:space="preserve"> la minorité </w:t>
            </w:r>
            <w:proofErr w:type="spellStart"/>
            <w:r w:rsidRPr="0087216F">
              <w:rPr>
                <w:sz w:val="21"/>
                <w:szCs w:val="21"/>
              </w:rPr>
              <w:t>Gysi</w:t>
            </w:r>
            <w:proofErr w:type="spellEnd"/>
            <w:r w:rsidR="00681613">
              <w:rPr>
                <w:sz w:val="21"/>
                <w:szCs w:val="21"/>
              </w:rPr>
              <w:t>.</w:t>
            </w:r>
          </w:p>
        </w:tc>
      </w:tr>
      <w:tr w:rsidR="00536D0B" w:rsidRPr="00717151" w14:paraId="177A9A5A" w14:textId="77777777" w:rsidTr="0077201D">
        <w:trPr>
          <w:trHeight w:val="510"/>
        </w:trPr>
        <w:tc>
          <w:tcPr>
            <w:tcW w:w="729" w:type="dxa"/>
          </w:tcPr>
          <w:p w14:paraId="07595A5D" w14:textId="77777777" w:rsidR="00536D0B" w:rsidRDefault="00536D0B" w:rsidP="006D62F7">
            <w:pPr>
              <w:rPr>
                <w:b/>
                <w:bCs/>
                <w:sz w:val="20"/>
                <w:szCs w:val="20"/>
              </w:rPr>
            </w:pPr>
          </w:p>
        </w:tc>
        <w:tc>
          <w:tcPr>
            <w:tcW w:w="708" w:type="dxa"/>
          </w:tcPr>
          <w:p w14:paraId="09EC55DD" w14:textId="77777777" w:rsidR="00536D0B" w:rsidRDefault="00536D0B" w:rsidP="006D62F7">
            <w:pPr>
              <w:rPr>
                <w:b/>
                <w:bCs/>
                <w:sz w:val="20"/>
                <w:szCs w:val="20"/>
              </w:rPr>
            </w:pPr>
          </w:p>
        </w:tc>
        <w:tc>
          <w:tcPr>
            <w:tcW w:w="708" w:type="dxa"/>
          </w:tcPr>
          <w:p w14:paraId="4AA6BBFA" w14:textId="77777777" w:rsidR="00536D0B" w:rsidRPr="00A5371A" w:rsidRDefault="00536D0B" w:rsidP="006D62F7">
            <w:pPr>
              <w:rPr>
                <w:b/>
                <w:bCs/>
                <w:sz w:val="20"/>
                <w:szCs w:val="20"/>
              </w:rPr>
            </w:pPr>
          </w:p>
        </w:tc>
        <w:tc>
          <w:tcPr>
            <w:tcW w:w="6650" w:type="dxa"/>
          </w:tcPr>
          <w:p w14:paraId="33E36826" w14:textId="77777777" w:rsidR="00611512" w:rsidRPr="00611512" w:rsidRDefault="00611512" w:rsidP="00611512">
            <w:pPr>
              <w:rPr>
                <w:b/>
                <w:bCs/>
                <w:i/>
                <w:iCs/>
                <w:sz w:val="21"/>
                <w:szCs w:val="21"/>
              </w:rPr>
            </w:pPr>
            <w:r w:rsidRPr="00611512">
              <w:rPr>
                <w:b/>
                <w:bCs/>
                <w:i/>
                <w:iCs/>
                <w:sz w:val="21"/>
                <w:szCs w:val="21"/>
              </w:rPr>
              <w:t>Modification d'autres actes</w:t>
            </w:r>
          </w:p>
          <w:p w14:paraId="6216A7EB" w14:textId="361F4F00" w:rsidR="00536D0B" w:rsidRPr="00611512" w:rsidRDefault="00611512" w:rsidP="00611512">
            <w:pPr>
              <w:rPr>
                <w:b/>
                <w:bCs/>
                <w:i/>
                <w:iCs/>
                <w:sz w:val="21"/>
                <w:szCs w:val="21"/>
              </w:rPr>
            </w:pPr>
            <w:r w:rsidRPr="00611512">
              <w:rPr>
                <w:b/>
                <w:bCs/>
                <w:i/>
                <w:iCs/>
                <w:sz w:val="21"/>
                <w:szCs w:val="21"/>
              </w:rPr>
              <w:t>3. Loi fédérale sur les stupéfiants et les substances psychotropes (</w:t>
            </w:r>
            <w:proofErr w:type="spellStart"/>
            <w:r w:rsidRPr="00611512">
              <w:rPr>
                <w:b/>
                <w:bCs/>
                <w:i/>
                <w:iCs/>
                <w:sz w:val="21"/>
                <w:szCs w:val="21"/>
              </w:rPr>
              <w:t>LStup</w:t>
            </w:r>
            <w:proofErr w:type="spellEnd"/>
            <w:r w:rsidRPr="00611512">
              <w:rPr>
                <w:b/>
                <w:bCs/>
                <w:i/>
                <w:iCs/>
                <w:sz w:val="21"/>
                <w:szCs w:val="21"/>
              </w:rPr>
              <w:t>)</w:t>
            </w:r>
          </w:p>
          <w:p w14:paraId="7697D918" w14:textId="77777777" w:rsidR="00611512" w:rsidRDefault="00611512" w:rsidP="006D62F7">
            <w:pPr>
              <w:rPr>
                <w:sz w:val="21"/>
                <w:szCs w:val="21"/>
                <w:lang w:val="fr-FR"/>
              </w:rPr>
            </w:pPr>
          </w:p>
          <w:p w14:paraId="7986449A" w14:textId="79526070" w:rsidR="00611512" w:rsidRPr="00611512" w:rsidRDefault="00611512" w:rsidP="007E0C39">
            <w:pPr>
              <w:jc w:val="both"/>
              <w:rPr>
                <w:sz w:val="21"/>
                <w:szCs w:val="21"/>
                <w:lang w:val="fr-FR"/>
              </w:rPr>
            </w:pPr>
            <w:r>
              <w:t xml:space="preserve">Le processus complet d'adoption et de mise en œuvre de la </w:t>
            </w:r>
            <w:proofErr w:type="spellStart"/>
            <w:r>
              <w:t>LPCan</w:t>
            </w:r>
            <w:proofErr w:type="spellEnd"/>
            <w:r>
              <w:t xml:space="preserve"> prendra plusieurs années (débats parlementaires, éventuel référendum, élaboration des ordonnances, procédures cantonales de concession). Sans cette disposition transitoire, plusieurs milliers de participants et participantes aux essais pilotes actuels, bénéficiant d'un accès légal à des produits contrôlés ainsi que de mesures de prévention et de réduction des risques, seraient contraints de retourner au marché illégal durant cette période. Cette rupture irait directement à l'encontre des objectifs de santé publique de la loi et pourrait fragiliser l'acceptation sociale et politique de la régulation, notamment en cas de référendum.</w:t>
            </w:r>
          </w:p>
        </w:tc>
        <w:tc>
          <w:tcPr>
            <w:tcW w:w="5517" w:type="dxa"/>
          </w:tcPr>
          <w:p w14:paraId="694CB179" w14:textId="28DD0482" w:rsidR="0044308B" w:rsidRDefault="00183847" w:rsidP="0044308B">
            <w:pPr>
              <w:rPr>
                <w:sz w:val="21"/>
                <w:szCs w:val="21"/>
              </w:rPr>
            </w:pPr>
            <w:r>
              <w:rPr>
                <w:b/>
                <w:bCs/>
                <w:sz w:val="21"/>
                <w:szCs w:val="21"/>
              </w:rPr>
              <w:t xml:space="preserve">Art 8a </w:t>
            </w:r>
            <w:proofErr w:type="spellStart"/>
            <w:r>
              <w:rPr>
                <w:b/>
                <w:bCs/>
                <w:sz w:val="21"/>
                <w:szCs w:val="21"/>
              </w:rPr>
              <w:t>LStup</w:t>
            </w:r>
            <w:proofErr w:type="spellEnd"/>
            <w:r>
              <w:rPr>
                <w:sz w:val="21"/>
                <w:szCs w:val="21"/>
              </w:rPr>
              <w:t xml:space="preserve"> et </w:t>
            </w:r>
            <w:r>
              <w:rPr>
                <w:b/>
                <w:bCs/>
                <w:sz w:val="21"/>
                <w:szCs w:val="21"/>
              </w:rPr>
              <w:t xml:space="preserve">Dispositions transitoires </w:t>
            </w:r>
            <w:proofErr w:type="spellStart"/>
            <w:r>
              <w:rPr>
                <w:b/>
                <w:bCs/>
                <w:sz w:val="21"/>
                <w:szCs w:val="21"/>
              </w:rPr>
              <w:t>LPCan</w:t>
            </w:r>
            <w:proofErr w:type="spellEnd"/>
          </w:p>
          <w:p w14:paraId="4013D44E" w14:textId="77777777" w:rsidR="00183847" w:rsidRDefault="00183847" w:rsidP="0044308B">
            <w:pPr>
              <w:rPr>
                <w:sz w:val="21"/>
                <w:szCs w:val="21"/>
              </w:rPr>
            </w:pPr>
          </w:p>
          <w:p w14:paraId="4739D653" w14:textId="31613951" w:rsidR="00183847" w:rsidRPr="004D06AE" w:rsidRDefault="004D06AE" w:rsidP="004D06AE">
            <w:pPr>
              <w:jc w:val="both"/>
              <w:rPr>
                <w:sz w:val="21"/>
                <w:szCs w:val="21"/>
              </w:rPr>
            </w:pPr>
            <w:r>
              <w:rPr>
                <w:sz w:val="21"/>
                <w:szCs w:val="21"/>
              </w:rPr>
              <w:t>L</w:t>
            </w:r>
            <w:r w:rsidR="00183847" w:rsidRPr="004D06AE">
              <w:rPr>
                <w:sz w:val="21"/>
                <w:szCs w:val="21"/>
              </w:rPr>
              <w:t xml:space="preserve">e GREA demande qu'une disposition transitoire soit insérée dans la </w:t>
            </w:r>
            <w:proofErr w:type="spellStart"/>
            <w:r w:rsidR="00183847" w:rsidRPr="004D06AE">
              <w:rPr>
                <w:sz w:val="21"/>
                <w:szCs w:val="21"/>
              </w:rPr>
              <w:t>LPCan</w:t>
            </w:r>
            <w:proofErr w:type="spellEnd"/>
            <w:r w:rsidR="00183847" w:rsidRPr="004D06AE">
              <w:rPr>
                <w:sz w:val="21"/>
                <w:szCs w:val="21"/>
              </w:rPr>
              <w:t xml:space="preserve"> concernant la prolongation des essais pilotes actuellement autorisés selon l'art. 8a </w:t>
            </w:r>
            <w:proofErr w:type="spellStart"/>
            <w:r w:rsidR="00183847" w:rsidRPr="004D06AE">
              <w:rPr>
                <w:sz w:val="21"/>
                <w:szCs w:val="21"/>
              </w:rPr>
              <w:t>LStup</w:t>
            </w:r>
            <w:proofErr w:type="spellEnd"/>
            <w:r w:rsidR="00183847" w:rsidRPr="004D06AE">
              <w:rPr>
                <w:sz w:val="21"/>
                <w:szCs w:val="21"/>
              </w:rPr>
              <w:t>.</w:t>
            </w:r>
            <w:r w:rsidR="00911828" w:rsidRPr="004D06AE">
              <w:rPr>
                <w:sz w:val="21"/>
                <w:szCs w:val="21"/>
              </w:rPr>
              <w:t xml:space="preserve"> Les él</w:t>
            </w:r>
            <w:r w:rsidR="00183847" w:rsidRPr="004D06AE">
              <w:rPr>
                <w:sz w:val="21"/>
                <w:szCs w:val="21"/>
              </w:rPr>
              <w:t>éments essentiels de cette disposition transitoire</w:t>
            </w:r>
            <w:r w:rsidR="00911828" w:rsidRPr="004D06AE">
              <w:rPr>
                <w:sz w:val="21"/>
                <w:szCs w:val="21"/>
              </w:rPr>
              <w:t xml:space="preserve"> sont les suivants : </w:t>
            </w:r>
          </w:p>
          <w:p w14:paraId="3C539D0B" w14:textId="77777777" w:rsidR="00911828" w:rsidRPr="00183847" w:rsidRDefault="00911828" w:rsidP="00183847">
            <w:pPr>
              <w:jc w:val="both"/>
              <w:rPr>
                <w:sz w:val="21"/>
                <w:szCs w:val="21"/>
              </w:rPr>
            </w:pPr>
          </w:p>
          <w:p w14:paraId="10E00393" w14:textId="77A25B4B" w:rsidR="00183847" w:rsidRPr="007D7883" w:rsidRDefault="00183847" w:rsidP="007D7883">
            <w:pPr>
              <w:pStyle w:val="Paragraphedeliste"/>
              <w:numPr>
                <w:ilvl w:val="0"/>
                <w:numId w:val="16"/>
              </w:numPr>
              <w:jc w:val="both"/>
              <w:rPr>
                <w:sz w:val="21"/>
                <w:szCs w:val="21"/>
              </w:rPr>
            </w:pPr>
            <w:r w:rsidRPr="007D7883">
              <w:rPr>
                <w:b/>
                <w:bCs/>
                <w:sz w:val="21"/>
                <w:szCs w:val="21"/>
              </w:rPr>
              <w:t>Durée de prolongation</w:t>
            </w:r>
            <w:r w:rsidRPr="007D7883">
              <w:rPr>
                <w:sz w:val="21"/>
                <w:szCs w:val="21"/>
              </w:rPr>
              <w:t xml:space="preserve"> : </w:t>
            </w:r>
            <w:r w:rsidR="00911828" w:rsidRPr="007D7883">
              <w:rPr>
                <w:sz w:val="21"/>
                <w:szCs w:val="21"/>
              </w:rPr>
              <w:t>l</w:t>
            </w:r>
            <w:r w:rsidRPr="007D7883">
              <w:rPr>
                <w:sz w:val="21"/>
                <w:szCs w:val="21"/>
              </w:rPr>
              <w:t xml:space="preserve">es essais pilotes en cours au moment de l'adoption de la </w:t>
            </w:r>
            <w:proofErr w:type="spellStart"/>
            <w:r w:rsidRPr="007D7883">
              <w:rPr>
                <w:sz w:val="21"/>
                <w:szCs w:val="21"/>
              </w:rPr>
              <w:t>LPCan</w:t>
            </w:r>
            <w:proofErr w:type="spellEnd"/>
            <w:r w:rsidRPr="007D7883">
              <w:rPr>
                <w:sz w:val="21"/>
                <w:szCs w:val="21"/>
              </w:rPr>
              <w:t xml:space="preserve"> par le Parlement devraient pouvoir être prolongés jusqu'à deux ans après l'entrée en vigueur de la </w:t>
            </w:r>
            <w:proofErr w:type="spellStart"/>
            <w:r w:rsidRPr="007D7883">
              <w:rPr>
                <w:sz w:val="21"/>
                <w:szCs w:val="21"/>
              </w:rPr>
              <w:t>LPCan</w:t>
            </w:r>
            <w:proofErr w:type="spellEnd"/>
            <w:r w:rsidRPr="007D7883">
              <w:rPr>
                <w:sz w:val="21"/>
                <w:szCs w:val="21"/>
              </w:rPr>
              <w:t>, permettant ainsi aux cantons de mettre en place leurs procédures de concession.</w:t>
            </w:r>
          </w:p>
          <w:p w14:paraId="69108AFB" w14:textId="77777777" w:rsidR="00911828" w:rsidRPr="00183847" w:rsidRDefault="00911828" w:rsidP="00183847">
            <w:pPr>
              <w:jc w:val="both"/>
              <w:rPr>
                <w:sz w:val="21"/>
                <w:szCs w:val="21"/>
              </w:rPr>
            </w:pPr>
          </w:p>
          <w:p w14:paraId="2563DBE9" w14:textId="12E7F681" w:rsidR="00911828" w:rsidRPr="004D06AE" w:rsidRDefault="00183847" w:rsidP="00183847">
            <w:pPr>
              <w:pStyle w:val="Paragraphedeliste"/>
              <w:numPr>
                <w:ilvl w:val="0"/>
                <w:numId w:val="16"/>
              </w:numPr>
              <w:jc w:val="both"/>
              <w:rPr>
                <w:sz w:val="21"/>
                <w:szCs w:val="21"/>
              </w:rPr>
            </w:pPr>
            <w:r w:rsidRPr="007D7883">
              <w:rPr>
                <w:b/>
                <w:bCs/>
                <w:sz w:val="21"/>
                <w:szCs w:val="21"/>
              </w:rPr>
              <w:t>Allègement des exigences scientifiques</w:t>
            </w:r>
            <w:r w:rsidRPr="007D7883">
              <w:rPr>
                <w:sz w:val="21"/>
                <w:szCs w:val="21"/>
              </w:rPr>
              <w:t xml:space="preserve"> : </w:t>
            </w:r>
            <w:r w:rsidR="00911828" w:rsidRPr="007D7883">
              <w:rPr>
                <w:sz w:val="21"/>
                <w:szCs w:val="21"/>
              </w:rPr>
              <w:t>d</w:t>
            </w:r>
            <w:r w:rsidRPr="007D7883">
              <w:rPr>
                <w:sz w:val="21"/>
                <w:szCs w:val="21"/>
              </w:rPr>
              <w:t>urant la période transitoire, le gain de connaissances scientifiques ne devrait plus être une condition pour la poursuite des essais.</w:t>
            </w:r>
          </w:p>
          <w:p w14:paraId="2187814E" w14:textId="1D8C9037" w:rsidR="00B50590" w:rsidRPr="004D06AE" w:rsidRDefault="00183847" w:rsidP="00183847">
            <w:pPr>
              <w:pStyle w:val="Paragraphedeliste"/>
              <w:numPr>
                <w:ilvl w:val="0"/>
                <w:numId w:val="16"/>
              </w:numPr>
              <w:jc w:val="both"/>
              <w:rPr>
                <w:sz w:val="21"/>
                <w:szCs w:val="21"/>
              </w:rPr>
            </w:pPr>
            <w:r w:rsidRPr="007D7883">
              <w:rPr>
                <w:b/>
                <w:bCs/>
                <w:sz w:val="21"/>
                <w:szCs w:val="21"/>
              </w:rPr>
              <w:t>Accord cantonal</w:t>
            </w:r>
            <w:r w:rsidRPr="007D7883">
              <w:rPr>
                <w:sz w:val="21"/>
                <w:szCs w:val="21"/>
              </w:rPr>
              <w:t xml:space="preserve"> : </w:t>
            </w:r>
            <w:r w:rsidR="00B50590" w:rsidRPr="007D7883">
              <w:rPr>
                <w:sz w:val="21"/>
                <w:szCs w:val="21"/>
              </w:rPr>
              <w:t>l</w:t>
            </w:r>
            <w:r w:rsidRPr="007D7883">
              <w:rPr>
                <w:sz w:val="21"/>
                <w:szCs w:val="21"/>
              </w:rPr>
              <w:t xml:space="preserve">a prolongation des essais pilotes devrait requérir l'accord du canton </w:t>
            </w:r>
            <w:r w:rsidRPr="007D7883">
              <w:rPr>
                <w:sz w:val="21"/>
                <w:szCs w:val="21"/>
              </w:rPr>
              <w:lastRenderedPageBreak/>
              <w:t>concerné, garantissant que les intérêts cantonaux soient respectés et qu'aucun modèle de vente incompatible avec les futures concessions cantonales ne soit maintenu.</w:t>
            </w:r>
          </w:p>
          <w:p w14:paraId="575F2D15" w14:textId="366E712A" w:rsidR="00B50590" w:rsidRPr="004D06AE" w:rsidRDefault="00183847" w:rsidP="00183847">
            <w:pPr>
              <w:pStyle w:val="Paragraphedeliste"/>
              <w:numPr>
                <w:ilvl w:val="0"/>
                <w:numId w:val="16"/>
              </w:numPr>
              <w:jc w:val="both"/>
              <w:rPr>
                <w:sz w:val="21"/>
                <w:szCs w:val="21"/>
              </w:rPr>
            </w:pPr>
            <w:r w:rsidRPr="007D7883">
              <w:rPr>
                <w:b/>
                <w:bCs/>
                <w:sz w:val="21"/>
                <w:szCs w:val="21"/>
              </w:rPr>
              <w:t xml:space="preserve">Compatibilité avec la </w:t>
            </w:r>
            <w:proofErr w:type="spellStart"/>
            <w:r w:rsidRPr="007D7883">
              <w:rPr>
                <w:b/>
                <w:bCs/>
                <w:sz w:val="21"/>
                <w:szCs w:val="21"/>
              </w:rPr>
              <w:t>LPCan</w:t>
            </w:r>
            <w:proofErr w:type="spellEnd"/>
            <w:r w:rsidRPr="007D7883">
              <w:rPr>
                <w:sz w:val="21"/>
                <w:szCs w:val="21"/>
              </w:rPr>
              <w:t xml:space="preserve"> : </w:t>
            </w:r>
            <w:r w:rsidR="00B50590" w:rsidRPr="007D7883">
              <w:rPr>
                <w:sz w:val="21"/>
                <w:szCs w:val="21"/>
              </w:rPr>
              <w:t>s</w:t>
            </w:r>
            <w:r w:rsidRPr="007D7883">
              <w:rPr>
                <w:sz w:val="21"/>
                <w:szCs w:val="21"/>
              </w:rPr>
              <w:t xml:space="preserve">euls les essais pilotes compatibles avec les principes de la </w:t>
            </w:r>
            <w:proofErr w:type="spellStart"/>
            <w:r w:rsidRPr="007D7883">
              <w:rPr>
                <w:sz w:val="21"/>
                <w:szCs w:val="21"/>
              </w:rPr>
              <w:t>LPCan</w:t>
            </w:r>
            <w:proofErr w:type="spellEnd"/>
            <w:r w:rsidRPr="007D7883">
              <w:rPr>
                <w:sz w:val="21"/>
                <w:szCs w:val="21"/>
              </w:rPr>
              <w:t xml:space="preserve"> (notamment vente à but non lucratif) devraient pouvoir bénéficier de cette prolongation.</w:t>
            </w:r>
          </w:p>
          <w:p w14:paraId="353BF548" w14:textId="4384FD3E" w:rsidR="00183847" w:rsidRPr="007D7883" w:rsidRDefault="00183847" w:rsidP="007D7883">
            <w:pPr>
              <w:pStyle w:val="Paragraphedeliste"/>
              <w:numPr>
                <w:ilvl w:val="0"/>
                <w:numId w:val="16"/>
              </w:numPr>
              <w:jc w:val="both"/>
              <w:rPr>
                <w:sz w:val="21"/>
                <w:szCs w:val="21"/>
              </w:rPr>
            </w:pPr>
            <w:r w:rsidRPr="007D7883">
              <w:rPr>
                <w:b/>
                <w:bCs/>
                <w:sz w:val="21"/>
                <w:szCs w:val="21"/>
              </w:rPr>
              <w:t>Entrée en vigueur anticipée</w:t>
            </w:r>
            <w:r w:rsidRPr="007D7883">
              <w:rPr>
                <w:sz w:val="21"/>
                <w:szCs w:val="21"/>
              </w:rPr>
              <w:t xml:space="preserve"> : </w:t>
            </w:r>
            <w:r w:rsidR="00B50590" w:rsidRPr="007D7883">
              <w:rPr>
                <w:sz w:val="21"/>
                <w:szCs w:val="21"/>
              </w:rPr>
              <w:t>l</w:t>
            </w:r>
            <w:r w:rsidRPr="007D7883">
              <w:rPr>
                <w:sz w:val="21"/>
                <w:szCs w:val="21"/>
              </w:rPr>
              <w:t xml:space="preserve">e Conseil fédéral devrait être mandaté pour mettre en vigueur cette disposition transitoire le plus rapidement possible, avant l'entrée en vigueur complète de la </w:t>
            </w:r>
            <w:proofErr w:type="spellStart"/>
            <w:r w:rsidRPr="007D7883">
              <w:rPr>
                <w:sz w:val="21"/>
                <w:szCs w:val="21"/>
              </w:rPr>
              <w:t>LPCan</w:t>
            </w:r>
            <w:proofErr w:type="spellEnd"/>
            <w:r w:rsidRPr="007D7883">
              <w:rPr>
                <w:sz w:val="21"/>
                <w:szCs w:val="21"/>
              </w:rPr>
              <w:t>.</w:t>
            </w:r>
          </w:p>
          <w:p w14:paraId="2F02BF88" w14:textId="77777777" w:rsidR="00536D0B" w:rsidRDefault="00536D0B" w:rsidP="00853065">
            <w:pPr>
              <w:rPr>
                <w:sz w:val="21"/>
                <w:szCs w:val="21"/>
              </w:rPr>
            </w:pPr>
          </w:p>
        </w:tc>
      </w:tr>
    </w:tbl>
    <w:p w14:paraId="168A88E1" w14:textId="77777777" w:rsidR="008B4EA7" w:rsidRPr="00717151" w:rsidRDefault="008B4EA7" w:rsidP="009A3D05">
      <w:pPr>
        <w:rPr>
          <w:b/>
          <w:bCs/>
          <w:sz w:val="32"/>
          <w:szCs w:val="32"/>
        </w:rPr>
      </w:pPr>
    </w:p>
    <w:p w14:paraId="05B8DF85" w14:textId="77777777" w:rsidR="001666BF" w:rsidRPr="00717151" w:rsidRDefault="001666BF" w:rsidP="009A3D05">
      <w:pPr>
        <w:rPr>
          <w:b/>
          <w:bCs/>
        </w:rPr>
      </w:pPr>
    </w:p>
    <w:tbl>
      <w:tblPr>
        <w:tblStyle w:val="Grilledutableau"/>
        <w:tblW w:w="0" w:type="auto"/>
        <w:tblLook w:val="04A0" w:firstRow="1" w:lastRow="0" w:firstColumn="1" w:lastColumn="0" w:noHBand="0" w:noVBand="1"/>
      </w:tblPr>
      <w:tblGrid>
        <w:gridCol w:w="846"/>
        <w:gridCol w:w="5953"/>
      </w:tblGrid>
      <w:tr w:rsidR="008750BF" w:rsidRPr="00717151" w14:paraId="64DB72A1" w14:textId="77777777" w:rsidTr="008750BF">
        <w:tc>
          <w:tcPr>
            <w:tcW w:w="6799" w:type="dxa"/>
            <w:gridSpan w:val="2"/>
            <w:shd w:val="clear" w:color="auto" w:fill="FFFF00"/>
          </w:tcPr>
          <w:p w14:paraId="05E325F2" w14:textId="0969CDC7" w:rsidR="008750BF" w:rsidRPr="00717151" w:rsidRDefault="00604FFE" w:rsidP="009A3D05">
            <w:pPr>
              <w:rPr>
                <w:b/>
                <w:bCs/>
              </w:rPr>
            </w:pPr>
            <w:r w:rsidRPr="00717151">
              <w:rPr>
                <w:b/>
                <w:bCs/>
              </w:rPr>
              <w:t>Notre conclusion</w:t>
            </w:r>
            <w:r w:rsidR="008750BF" w:rsidRPr="00717151">
              <w:rPr>
                <w:b/>
                <w:bCs/>
              </w:rPr>
              <w:t xml:space="preserve"> </w:t>
            </w:r>
            <w:r w:rsidRPr="00717151">
              <w:t>(cochez une seule case svp.)</w:t>
            </w:r>
          </w:p>
          <w:p w14:paraId="57AEB826" w14:textId="4104FAA3" w:rsidR="008750BF" w:rsidRPr="00717151" w:rsidRDefault="008750BF" w:rsidP="009A3D05">
            <w:pPr>
              <w:rPr>
                <w:b/>
                <w:bCs/>
              </w:rPr>
            </w:pPr>
          </w:p>
        </w:tc>
      </w:tr>
      <w:tr w:rsidR="008750BF" w:rsidRPr="00717151" w14:paraId="24ECBE61" w14:textId="77777777" w:rsidTr="008750BF">
        <w:tc>
          <w:tcPr>
            <w:tcW w:w="846" w:type="dxa"/>
          </w:tcPr>
          <w:p w14:paraId="51C968BF" w14:textId="329566BB" w:rsidR="008750BF" w:rsidRPr="00717151" w:rsidRDefault="008750BF" w:rsidP="009A3D05">
            <w:pPr>
              <w:rPr>
                <w:b/>
                <w:bCs/>
                <w:sz w:val="44"/>
                <w:szCs w:val="44"/>
              </w:rPr>
            </w:pPr>
          </w:p>
        </w:tc>
        <w:tc>
          <w:tcPr>
            <w:tcW w:w="5953" w:type="dxa"/>
          </w:tcPr>
          <w:p w14:paraId="36C4548F" w14:textId="47518471" w:rsidR="008750BF" w:rsidRPr="00717151" w:rsidRDefault="00604FFE" w:rsidP="009A3D05">
            <w:r w:rsidRPr="00717151">
              <w:t>A</w:t>
            </w:r>
            <w:r w:rsidR="004561E3" w:rsidRPr="00717151">
              <w:t xml:space="preserve">vis favorable </w:t>
            </w:r>
          </w:p>
        </w:tc>
      </w:tr>
      <w:tr w:rsidR="008750BF" w:rsidRPr="00717151" w14:paraId="2F24F240" w14:textId="77777777" w:rsidTr="008750BF">
        <w:tc>
          <w:tcPr>
            <w:tcW w:w="846" w:type="dxa"/>
          </w:tcPr>
          <w:p w14:paraId="29504D35" w14:textId="0B06C4B1" w:rsidR="008750BF" w:rsidRPr="00717151" w:rsidRDefault="00F412D2" w:rsidP="009A3D05">
            <w:pPr>
              <w:rPr>
                <w:b/>
                <w:bCs/>
                <w:sz w:val="44"/>
                <w:szCs w:val="44"/>
              </w:rPr>
            </w:pPr>
            <w:proofErr w:type="gramStart"/>
            <w:r>
              <w:rPr>
                <w:b/>
                <w:bCs/>
                <w:sz w:val="44"/>
                <w:szCs w:val="44"/>
              </w:rPr>
              <w:t>x</w:t>
            </w:r>
            <w:proofErr w:type="gramEnd"/>
          </w:p>
        </w:tc>
        <w:tc>
          <w:tcPr>
            <w:tcW w:w="5953" w:type="dxa"/>
          </w:tcPr>
          <w:p w14:paraId="08AEA60D" w14:textId="5C22DAF3" w:rsidR="008750BF" w:rsidRPr="00717151" w:rsidRDefault="004561E3" w:rsidP="009A3D05">
            <w:r w:rsidRPr="00717151">
              <w:t xml:space="preserve">Avis plutôt favorable </w:t>
            </w:r>
            <w:r w:rsidR="00604FFE" w:rsidRPr="00717151">
              <w:t xml:space="preserve"> </w:t>
            </w:r>
          </w:p>
        </w:tc>
      </w:tr>
      <w:tr w:rsidR="008750BF" w:rsidRPr="00717151" w14:paraId="74F6B352" w14:textId="77777777" w:rsidTr="008750BF">
        <w:tc>
          <w:tcPr>
            <w:tcW w:w="846" w:type="dxa"/>
          </w:tcPr>
          <w:p w14:paraId="376E5D90" w14:textId="77777777" w:rsidR="008750BF" w:rsidRPr="00717151" w:rsidRDefault="008750BF" w:rsidP="009A3D05">
            <w:pPr>
              <w:rPr>
                <w:b/>
                <w:bCs/>
                <w:sz w:val="44"/>
                <w:szCs w:val="44"/>
              </w:rPr>
            </w:pPr>
          </w:p>
        </w:tc>
        <w:tc>
          <w:tcPr>
            <w:tcW w:w="5953" w:type="dxa"/>
          </w:tcPr>
          <w:p w14:paraId="20082EC3" w14:textId="1591FE00" w:rsidR="008750BF" w:rsidRPr="00717151" w:rsidRDefault="004561E3" w:rsidP="009A3D05">
            <w:r w:rsidRPr="00717151">
              <w:t>Avis neutre</w:t>
            </w:r>
            <w:r w:rsidR="008750BF" w:rsidRPr="00717151">
              <w:t xml:space="preserve"> </w:t>
            </w:r>
          </w:p>
        </w:tc>
      </w:tr>
      <w:tr w:rsidR="008750BF" w:rsidRPr="00717151" w14:paraId="4F3EAD15" w14:textId="77777777" w:rsidTr="008750BF">
        <w:tc>
          <w:tcPr>
            <w:tcW w:w="846" w:type="dxa"/>
          </w:tcPr>
          <w:p w14:paraId="374A51BE" w14:textId="77777777" w:rsidR="008750BF" w:rsidRPr="00717151" w:rsidRDefault="008750BF" w:rsidP="009A3D05">
            <w:pPr>
              <w:rPr>
                <w:b/>
                <w:bCs/>
                <w:sz w:val="44"/>
                <w:szCs w:val="44"/>
              </w:rPr>
            </w:pPr>
          </w:p>
        </w:tc>
        <w:tc>
          <w:tcPr>
            <w:tcW w:w="5953" w:type="dxa"/>
          </w:tcPr>
          <w:p w14:paraId="392EB0BA" w14:textId="11245043" w:rsidR="008750BF" w:rsidRPr="00717151" w:rsidRDefault="004561E3" w:rsidP="009A3D05">
            <w:r w:rsidRPr="00717151">
              <w:t xml:space="preserve">Avis </w:t>
            </w:r>
            <w:proofErr w:type="spellStart"/>
            <w:r w:rsidRPr="00717151">
              <w:t>plutot</w:t>
            </w:r>
            <w:proofErr w:type="spellEnd"/>
            <w:r w:rsidRPr="00717151">
              <w:t xml:space="preserve"> défavorable </w:t>
            </w:r>
          </w:p>
        </w:tc>
      </w:tr>
      <w:tr w:rsidR="004561E3" w:rsidRPr="00717151" w14:paraId="2336965B" w14:textId="77777777" w:rsidTr="008750BF">
        <w:tc>
          <w:tcPr>
            <w:tcW w:w="846" w:type="dxa"/>
          </w:tcPr>
          <w:p w14:paraId="72051831" w14:textId="77777777" w:rsidR="004561E3" w:rsidRPr="00717151" w:rsidRDefault="004561E3" w:rsidP="009A3D05">
            <w:pPr>
              <w:rPr>
                <w:b/>
                <w:bCs/>
                <w:sz w:val="44"/>
                <w:szCs w:val="44"/>
              </w:rPr>
            </w:pPr>
          </w:p>
        </w:tc>
        <w:tc>
          <w:tcPr>
            <w:tcW w:w="5953" w:type="dxa"/>
          </w:tcPr>
          <w:p w14:paraId="487DF541" w14:textId="300A3EB2" w:rsidR="004561E3" w:rsidRPr="00717151" w:rsidRDefault="004561E3" w:rsidP="009A3D05">
            <w:r w:rsidRPr="00717151">
              <w:t xml:space="preserve">Avis défavorable </w:t>
            </w:r>
          </w:p>
        </w:tc>
      </w:tr>
    </w:tbl>
    <w:p w14:paraId="3F6D6C31" w14:textId="181F7882" w:rsidR="008750BF" w:rsidRPr="00717151" w:rsidRDefault="008750BF" w:rsidP="00A75E50">
      <w:pPr>
        <w:tabs>
          <w:tab w:val="left" w:pos="6086"/>
        </w:tabs>
        <w:rPr>
          <w:sz w:val="44"/>
          <w:szCs w:val="44"/>
        </w:rPr>
      </w:pPr>
    </w:p>
    <w:sectPr w:rsidR="008750BF" w:rsidRPr="00717151" w:rsidSect="009A3D05">
      <w:headerReference w:type="default" r:id="rId13"/>
      <w:footerReference w:type="default" r:id="rId14"/>
      <w:pgSz w:w="16839" w:h="11907"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73C4" w14:textId="77777777" w:rsidR="00AE00C6" w:rsidRDefault="00AE00C6" w:rsidP="009A3D05">
      <w:pPr>
        <w:spacing w:line="240" w:lineRule="auto"/>
      </w:pPr>
      <w:r>
        <w:separator/>
      </w:r>
    </w:p>
  </w:endnote>
  <w:endnote w:type="continuationSeparator" w:id="0">
    <w:p w14:paraId="3B05F1EC" w14:textId="77777777" w:rsidR="00AE00C6" w:rsidRDefault="00AE00C6" w:rsidP="009A3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474088"/>
      <w:docPartObj>
        <w:docPartGallery w:val="Page Numbers (Bottom of Page)"/>
        <w:docPartUnique/>
      </w:docPartObj>
    </w:sdtPr>
    <w:sdtEndPr>
      <w:rPr>
        <w:sz w:val="16"/>
        <w:szCs w:val="16"/>
      </w:rPr>
    </w:sdtEndPr>
    <w:sdtContent>
      <w:p w14:paraId="41DB2B04" w14:textId="03FAFA4A" w:rsidR="001666BF" w:rsidRPr="001666BF" w:rsidRDefault="001666BF">
        <w:pPr>
          <w:pStyle w:val="Pieddepage"/>
          <w:jc w:val="right"/>
          <w:rPr>
            <w:sz w:val="16"/>
            <w:szCs w:val="16"/>
          </w:rPr>
        </w:pPr>
        <w:r w:rsidRPr="001666BF">
          <w:rPr>
            <w:sz w:val="16"/>
            <w:szCs w:val="16"/>
          </w:rPr>
          <w:fldChar w:fldCharType="begin"/>
        </w:r>
        <w:r w:rsidRPr="001666BF">
          <w:rPr>
            <w:sz w:val="16"/>
            <w:szCs w:val="16"/>
          </w:rPr>
          <w:instrText>PAGE   \* MERGEFORMAT</w:instrText>
        </w:r>
        <w:r w:rsidRPr="001666BF">
          <w:rPr>
            <w:sz w:val="16"/>
            <w:szCs w:val="16"/>
          </w:rPr>
          <w:fldChar w:fldCharType="separate"/>
        </w:r>
        <w:r w:rsidRPr="001666BF">
          <w:rPr>
            <w:sz w:val="16"/>
            <w:szCs w:val="16"/>
            <w:lang w:val="fr-FR"/>
          </w:rPr>
          <w:t>2</w:t>
        </w:r>
        <w:r w:rsidRPr="001666BF">
          <w:rPr>
            <w:sz w:val="16"/>
            <w:szCs w:val="16"/>
          </w:rPr>
          <w:fldChar w:fldCharType="end"/>
        </w:r>
      </w:p>
    </w:sdtContent>
  </w:sdt>
  <w:p w14:paraId="52CFE011" w14:textId="77777777" w:rsidR="001666BF" w:rsidRDefault="001666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5C92" w14:textId="77777777" w:rsidR="00AE00C6" w:rsidRDefault="00AE00C6" w:rsidP="009A3D05">
      <w:pPr>
        <w:spacing w:line="240" w:lineRule="auto"/>
      </w:pPr>
      <w:r>
        <w:separator/>
      </w:r>
    </w:p>
  </w:footnote>
  <w:footnote w:type="continuationSeparator" w:id="0">
    <w:p w14:paraId="5B78CB98" w14:textId="77777777" w:rsidR="00AE00C6" w:rsidRDefault="00AE00C6" w:rsidP="009A3D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BADC" w14:textId="529850AC" w:rsidR="009A3D05" w:rsidRPr="0059462D" w:rsidRDefault="0059462D" w:rsidP="009A3D05">
    <w:pPr>
      <w:jc w:val="center"/>
      <w:rPr>
        <w:b/>
        <w:sz w:val="24"/>
      </w:rPr>
    </w:pPr>
    <w:r w:rsidRPr="0059462D">
      <w:rPr>
        <w:b/>
        <w:sz w:val="24"/>
      </w:rPr>
      <w:t xml:space="preserve">Initiative parlementaire Siegenthaler 20.473 </w:t>
    </w:r>
    <w:r w:rsidR="009A3D05" w:rsidRPr="0059462D">
      <w:rPr>
        <w:b/>
        <w:sz w:val="24"/>
      </w:rPr>
      <w:t>«</w:t>
    </w:r>
    <w:r>
      <w:rPr>
        <w:b/>
        <w:sz w:val="24"/>
      </w:rPr>
      <w:t xml:space="preserve"> </w:t>
    </w:r>
    <w:r w:rsidRPr="0059462D">
      <w:rPr>
        <w:b/>
        <w:sz w:val="24"/>
      </w:rPr>
      <w:t>Réguler le marché du cannabis pour mieux protéger la jeunesse et les consommateurs</w:t>
    </w:r>
    <w:r>
      <w:rPr>
        <w:b/>
        <w:sz w:val="24"/>
      </w:rPr>
      <w:t xml:space="preserve"> </w:t>
    </w:r>
    <w:r w:rsidRPr="0059462D">
      <w:rPr>
        <w:b/>
        <w:sz w:val="24"/>
      </w:rPr>
      <w:t xml:space="preserve">» </w:t>
    </w:r>
  </w:p>
  <w:p w14:paraId="47E85B4B" w14:textId="6B394B59" w:rsidR="009A3D05" w:rsidRPr="0059462D" w:rsidRDefault="0059462D" w:rsidP="009A3D05">
    <w:pPr>
      <w:jc w:val="center"/>
      <w:rPr>
        <w:b/>
        <w:sz w:val="24"/>
      </w:rPr>
    </w:pPr>
    <w:r w:rsidRPr="0059462D">
      <w:rPr>
        <w:b/>
        <w:sz w:val="24"/>
      </w:rPr>
      <w:t>Loi fédérale sur les produit</w:t>
    </w:r>
    <w:r>
      <w:rPr>
        <w:b/>
        <w:sz w:val="24"/>
      </w:rPr>
      <w:t xml:space="preserve">s cannabiques (loi sur les produits cannabiques, </w:t>
    </w:r>
    <w:proofErr w:type="spellStart"/>
    <w:r>
      <w:rPr>
        <w:b/>
        <w:sz w:val="24"/>
      </w:rPr>
      <w:t>LPCan</w:t>
    </w:r>
    <w:proofErr w:type="spellEnd"/>
    <w:r>
      <w:rPr>
        <w:b/>
        <w:sz w:val="24"/>
      </w:rPr>
      <w:t>)</w:t>
    </w:r>
  </w:p>
  <w:p w14:paraId="4E6CB511" w14:textId="77777777" w:rsidR="009A3D05" w:rsidRPr="004561E3" w:rsidRDefault="009A3D05" w:rsidP="009A3D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2FF"/>
    <w:multiLevelType w:val="hybridMultilevel"/>
    <w:tmpl w:val="309C33F8"/>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05391"/>
    <w:multiLevelType w:val="multilevel"/>
    <w:tmpl w:val="363E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96AA4"/>
    <w:multiLevelType w:val="hybridMultilevel"/>
    <w:tmpl w:val="D98C7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0656A1"/>
    <w:multiLevelType w:val="hybridMultilevel"/>
    <w:tmpl w:val="486CC1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724332"/>
    <w:multiLevelType w:val="hybridMultilevel"/>
    <w:tmpl w:val="6E68009E"/>
    <w:lvl w:ilvl="0" w:tplc="040C000F">
      <w:start w:val="1"/>
      <w:numFmt w:val="decimal"/>
      <w:lvlText w:val="%1."/>
      <w:lvlJc w:val="left"/>
      <w:pPr>
        <w:ind w:left="720" w:hanging="360"/>
      </w:pPr>
    </w:lvl>
    <w:lvl w:ilvl="1" w:tplc="1EF0329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81682B"/>
    <w:multiLevelType w:val="hybridMultilevel"/>
    <w:tmpl w:val="F0BAA59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834E0B"/>
    <w:multiLevelType w:val="hybridMultilevel"/>
    <w:tmpl w:val="9704F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872CB7"/>
    <w:multiLevelType w:val="hybridMultilevel"/>
    <w:tmpl w:val="2C2051E0"/>
    <w:lvl w:ilvl="0" w:tplc="5C08264A">
      <w:start w:val="1207"/>
      <w:numFmt w:val="bullet"/>
      <w:lvlText w:val="-"/>
      <w:lvlJc w:val="left"/>
      <w:pPr>
        <w:ind w:left="720" w:hanging="360"/>
      </w:pPr>
      <w:rPr>
        <w:rFonts w:ascii="Calibri Light" w:eastAsiaTheme="min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2102CB"/>
    <w:multiLevelType w:val="hybridMultilevel"/>
    <w:tmpl w:val="BEB6FC2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1B6ADD"/>
    <w:multiLevelType w:val="multilevel"/>
    <w:tmpl w:val="CD86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C6F99"/>
    <w:multiLevelType w:val="hybridMultilevel"/>
    <w:tmpl w:val="863062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2F5DE3"/>
    <w:multiLevelType w:val="hybridMultilevel"/>
    <w:tmpl w:val="4980199E"/>
    <w:lvl w:ilvl="0" w:tplc="481A8522">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79F30DD"/>
    <w:multiLevelType w:val="hybridMultilevel"/>
    <w:tmpl w:val="7FDE0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9475CF"/>
    <w:multiLevelType w:val="hybridMultilevel"/>
    <w:tmpl w:val="B6509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95504F"/>
    <w:multiLevelType w:val="hybridMultilevel"/>
    <w:tmpl w:val="2AA0A17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DDC28FA"/>
    <w:multiLevelType w:val="hybridMultilevel"/>
    <w:tmpl w:val="CADCEB0E"/>
    <w:lvl w:ilvl="0" w:tplc="C16269AE">
      <w:start w:val="6"/>
      <w:numFmt w:val="bullet"/>
      <w:lvlText w:val="-"/>
      <w:lvlJc w:val="left"/>
      <w:pPr>
        <w:ind w:left="720" w:hanging="360"/>
      </w:pPr>
      <w:rPr>
        <w:rFonts w:ascii="Calibri Light" w:eastAsiaTheme="min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3433025">
    <w:abstractNumId w:val="4"/>
  </w:num>
  <w:num w:numId="2" w16cid:durableId="794524719">
    <w:abstractNumId w:val="15"/>
  </w:num>
  <w:num w:numId="3" w16cid:durableId="1236621935">
    <w:abstractNumId w:val="7"/>
  </w:num>
  <w:num w:numId="4" w16cid:durableId="1017780538">
    <w:abstractNumId w:val="3"/>
  </w:num>
  <w:num w:numId="5" w16cid:durableId="1391735406">
    <w:abstractNumId w:val="9"/>
  </w:num>
  <w:num w:numId="6" w16cid:durableId="1254359246">
    <w:abstractNumId w:val="2"/>
  </w:num>
  <w:num w:numId="7" w16cid:durableId="19285330">
    <w:abstractNumId w:val="0"/>
  </w:num>
  <w:num w:numId="8" w16cid:durableId="1324891798">
    <w:abstractNumId w:val="14"/>
  </w:num>
  <w:num w:numId="9" w16cid:durableId="701125639">
    <w:abstractNumId w:val="13"/>
  </w:num>
  <w:num w:numId="10" w16cid:durableId="360782831">
    <w:abstractNumId w:val="10"/>
  </w:num>
  <w:num w:numId="11" w16cid:durableId="1238444538">
    <w:abstractNumId w:val="11"/>
  </w:num>
  <w:num w:numId="12" w16cid:durableId="1071804724">
    <w:abstractNumId w:val="6"/>
  </w:num>
  <w:num w:numId="13" w16cid:durableId="1807621502">
    <w:abstractNumId w:val="5"/>
  </w:num>
  <w:num w:numId="14" w16cid:durableId="1331521200">
    <w:abstractNumId w:val="8"/>
  </w:num>
  <w:num w:numId="15" w16cid:durableId="135688464">
    <w:abstractNumId w:val="1"/>
  </w:num>
  <w:num w:numId="16" w16cid:durableId="1644694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DA"/>
    <w:rsid w:val="0001158F"/>
    <w:rsid w:val="000126FE"/>
    <w:rsid w:val="000130EE"/>
    <w:rsid w:val="000156F5"/>
    <w:rsid w:val="00020392"/>
    <w:rsid w:val="000303A8"/>
    <w:rsid w:val="000363CA"/>
    <w:rsid w:val="000441FB"/>
    <w:rsid w:val="00051689"/>
    <w:rsid w:val="00053AAD"/>
    <w:rsid w:val="00070BE5"/>
    <w:rsid w:val="00072A06"/>
    <w:rsid w:val="00076260"/>
    <w:rsid w:val="00083908"/>
    <w:rsid w:val="000878A4"/>
    <w:rsid w:val="0009471D"/>
    <w:rsid w:val="000A1F8C"/>
    <w:rsid w:val="000A24E4"/>
    <w:rsid w:val="000A5A1D"/>
    <w:rsid w:val="000B19F0"/>
    <w:rsid w:val="000B1D10"/>
    <w:rsid w:val="000B4E5F"/>
    <w:rsid w:val="000C3C75"/>
    <w:rsid w:val="000D3448"/>
    <w:rsid w:val="000D7789"/>
    <w:rsid w:val="000F5365"/>
    <w:rsid w:val="000F6C8F"/>
    <w:rsid w:val="0010143E"/>
    <w:rsid w:val="00103F63"/>
    <w:rsid w:val="00107700"/>
    <w:rsid w:val="00111E79"/>
    <w:rsid w:val="00130901"/>
    <w:rsid w:val="00133089"/>
    <w:rsid w:val="001470B3"/>
    <w:rsid w:val="001512D4"/>
    <w:rsid w:val="00153215"/>
    <w:rsid w:val="00154226"/>
    <w:rsid w:val="00157034"/>
    <w:rsid w:val="001666BF"/>
    <w:rsid w:val="00167E58"/>
    <w:rsid w:val="001718E5"/>
    <w:rsid w:val="00172B71"/>
    <w:rsid w:val="001808DD"/>
    <w:rsid w:val="00181B2F"/>
    <w:rsid w:val="00183847"/>
    <w:rsid w:val="00184119"/>
    <w:rsid w:val="001843D2"/>
    <w:rsid w:val="00185E7B"/>
    <w:rsid w:val="001919BB"/>
    <w:rsid w:val="00192C2D"/>
    <w:rsid w:val="00195A2C"/>
    <w:rsid w:val="0019661A"/>
    <w:rsid w:val="001967FD"/>
    <w:rsid w:val="001A22E0"/>
    <w:rsid w:val="001A5C22"/>
    <w:rsid w:val="001A6259"/>
    <w:rsid w:val="001B607B"/>
    <w:rsid w:val="001C0BCC"/>
    <w:rsid w:val="001C60DA"/>
    <w:rsid w:val="001D0453"/>
    <w:rsid w:val="001E0114"/>
    <w:rsid w:val="001E05E6"/>
    <w:rsid w:val="001F19D3"/>
    <w:rsid w:val="0020152F"/>
    <w:rsid w:val="002021F5"/>
    <w:rsid w:val="0020234D"/>
    <w:rsid w:val="00204EDD"/>
    <w:rsid w:val="00212302"/>
    <w:rsid w:val="00213F3B"/>
    <w:rsid w:val="00222A75"/>
    <w:rsid w:val="0023713D"/>
    <w:rsid w:val="00244D28"/>
    <w:rsid w:val="0025692A"/>
    <w:rsid w:val="00257A07"/>
    <w:rsid w:val="00261322"/>
    <w:rsid w:val="0026308A"/>
    <w:rsid w:val="00281078"/>
    <w:rsid w:val="00283988"/>
    <w:rsid w:val="00283C25"/>
    <w:rsid w:val="00284D11"/>
    <w:rsid w:val="00287597"/>
    <w:rsid w:val="00297B6E"/>
    <w:rsid w:val="002A5CF3"/>
    <w:rsid w:val="002B0478"/>
    <w:rsid w:val="002B2FFD"/>
    <w:rsid w:val="002C323E"/>
    <w:rsid w:val="002D00A2"/>
    <w:rsid w:val="002D0194"/>
    <w:rsid w:val="002D36B0"/>
    <w:rsid w:val="002D3AFC"/>
    <w:rsid w:val="002D59F0"/>
    <w:rsid w:val="002E0318"/>
    <w:rsid w:val="002E4DEE"/>
    <w:rsid w:val="002E52F6"/>
    <w:rsid w:val="002F08D4"/>
    <w:rsid w:val="002F11C8"/>
    <w:rsid w:val="002F2974"/>
    <w:rsid w:val="002F37FD"/>
    <w:rsid w:val="002F5659"/>
    <w:rsid w:val="003019D0"/>
    <w:rsid w:val="00306D26"/>
    <w:rsid w:val="00310975"/>
    <w:rsid w:val="00312C11"/>
    <w:rsid w:val="00321BF6"/>
    <w:rsid w:val="003252A8"/>
    <w:rsid w:val="00334539"/>
    <w:rsid w:val="00335B8A"/>
    <w:rsid w:val="003416D5"/>
    <w:rsid w:val="00344714"/>
    <w:rsid w:val="003600E6"/>
    <w:rsid w:val="0036017F"/>
    <w:rsid w:val="00363928"/>
    <w:rsid w:val="00366649"/>
    <w:rsid w:val="00381372"/>
    <w:rsid w:val="00395496"/>
    <w:rsid w:val="003B0FD8"/>
    <w:rsid w:val="003B17F5"/>
    <w:rsid w:val="003C22FD"/>
    <w:rsid w:val="003C5C66"/>
    <w:rsid w:val="003D2CC9"/>
    <w:rsid w:val="003D3557"/>
    <w:rsid w:val="003E0FF5"/>
    <w:rsid w:val="003E28D0"/>
    <w:rsid w:val="003E5125"/>
    <w:rsid w:val="003E6B4A"/>
    <w:rsid w:val="003E6C60"/>
    <w:rsid w:val="004024F3"/>
    <w:rsid w:val="0040632D"/>
    <w:rsid w:val="00411BA8"/>
    <w:rsid w:val="00414025"/>
    <w:rsid w:val="00415D91"/>
    <w:rsid w:val="0041631A"/>
    <w:rsid w:val="004331F2"/>
    <w:rsid w:val="00434B82"/>
    <w:rsid w:val="0044308B"/>
    <w:rsid w:val="0044672E"/>
    <w:rsid w:val="004473B1"/>
    <w:rsid w:val="0044786F"/>
    <w:rsid w:val="004561E3"/>
    <w:rsid w:val="004801AA"/>
    <w:rsid w:val="00481747"/>
    <w:rsid w:val="004847CB"/>
    <w:rsid w:val="00490E50"/>
    <w:rsid w:val="00492817"/>
    <w:rsid w:val="00494712"/>
    <w:rsid w:val="004A41A5"/>
    <w:rsid w:val="004A7DC3"/>
    <w:rsid w:val="004C1F94"/>
    <w:rsid w:val="004C1FAC"/>
    <w:rsid w:val="004D06AE"/>
    <w:rsid w:val="004D0F37"/>
    <w:rsid w:val="004D37C5"/>
    <w:rsid w:val="004D45C4"/>
    <w:rsid w:val="004E675B"/>
    <w:rsid w:val="004E6EEA"/>
    <w:rsid w:val="004F49CA"/>
    <w:rsid w:val="0051277F"/>
    <w:rsid w:val="005308B1"/>
    <w:rsid w:val="00536D0B"/>
    <w:rsid w:val="00537E48"/>
    <w:rsid w:val="00553D01"/>
    <w:rsid w:val="005548DF"/>
    <w:rsid w:val="00566E28"/>
    <w:rsid w:val="00575A2C"/>
    <w:rsid w:val="00581F30"/>
    <w:rsid w:val="0058323C"/>
    <w:rsid w:val="005856D1"/>
    <w:rsid w:val="00592F91"/>
    <w:rsid w:val="0059462D"/>
    <w:rsid w:val="00596A40"/>
    <w:rsid w:val="00597CD0"/>
    <w:rsid w:val="005A3001"/>
    <w:rsid w:val="005B3B20"/>
    <w:rsid w:val="005D46D0"/>
    <w:rsid w:val="005D4A0C"/>
    <w:rsid w:val="005E149B"/>
    <w:rsid w:val="005E4CD2"/>
    <w:rsid w:val="005F0363"/>
    <w:rsid w:val="00604FFE"/>
    <w:rsid w:val="00606435"/>
    <w:rsid w:val="00611512"/>
    <w:rsid w:val="00613727"/>
    <w:rsid w:val="0062121D"/>
    <w:rsid w:val="006351A2"/>
    <w:rsid w:val="006366DE"/>
    <w:rsid w:val="00644B0A"/>
    <w:rsid w:val="00647B31"/>
    <w:rsid w:val="00647C89"/>
    <w:rsid w:val="006565AE"/>
    <w:rsid w:val="00657325"/>
    <w:rsid w:val="00665FA4"/>
    <w:rsid w:val="006671C5"/>
    <w:rsid w:val="00671705"/>
    <w:rsid w:val="00671878"/>
    <w:rsid w:val="006723DD"/>
    <w:rsid w:val="006740FB"/>
    <w:rsid w:val="00681613"/>
    <w:rsid w:val="006831FA"/>
    <w:rsid w:val="0068751A"/>
    <w:rsid w:val="00690D12"/>
    <w:rsid w:val="006A6316"/>
    <w:rsid w:val="006C7F08"/>
    <w:rsid w:val="006D1F09"/>
    <w:rsid w:val="006D62F7"/>
    <w:rsid w:val="00701C21"/>
    <w:rsid w:val="0070367F"/>
    <w:rsid w:val="00704C7C"/>
    <w:rsid w:val="00705CF5"/>
    <w:rsid w:val="00717151"/>
    <w:rsid w:val="00721152"/>
    <w:rsid w:val="007277DB"/>
    <w:rsid w:val="0072796F"/>
    <w:rsid w:val="007366B7"/>
    <w:rsid w:val="00744E97"/>
    <w:rsid w:val="00745AA8"/>
    <w:rsid w:val="00746E4E"/>
    <w:rsid w:val="007543A5"/>
    <w:rsid w:val="00757F98"/>
    <w:rsid w:val="00763166"/>
    <w:rsid w:val="00766478"/>
    <w:rsid w:val="00767DE8"/>
    <w:rsid w:val="0077201D"/>
    <w:rsid w:val="00772030"/>
    <w:rsid w:val="007720EC"/>
    <w:rsid w:val="007965F5"/>
    <w:rsid w:val="007A160D"/>
    <w:rsid w:val="007A56BD"/>
    <w:rsid w:val="007B6B23"/>
    <w:rsid w:val="007C347F"/>
    <w:rsid w:val="007C3F4B"/>
    <w:rsid w:val="007D24E4"/>
    <w:rsid w:val="007D49A0"/>
    <w:rsid w:val="007D7883"/>
    <w:rsid w:val="007E0324"/>
    <w:rsid w:val="007E0C39"/>
    <w:rsid w:val="007E2D92"/>
    <w:rsid w:val="007E3C35"/>
    <w:rsid w:val="007F0A9F"/>
    <w:rsid w:val="007F400D"/>
    <w:rsid w:val="007F7EC6"/>
    <w:rsid w:val="00801089"/>
    <w:rsid w:val="00802036"/>
    <w:rsid w:val="0080721A"/>
    <w:rsid w:val="0081349C"/>
    <w:rsid w:val="00820AE4"/>
    <w:rsid w:val="0084071D"/>
    <w:rsid w:val="00843E1B"/>
    <w:rsid w:val="00853065"/>
    <w:rsid w:val="00855AE3"/>
    <w:rsid w:val="008612BA"/>
    <w:rsid w:val="0086246A"/>
    <w:rsid w:val="0087216F"/>
    <w:rsid w:val="00872E75"/>
    <w:rsid w:val="008750BF"/>
    <w:rsid w:val="00875739"/>
    <w:rsid w:val="00875B55"/>
    <w:rsid w:val="008933F6"/>
    <w:rsid w:val="008B4EA7"/>
    <w:rsid w:val="008B514A"/>
    <w:rsid w:val="008B5969"/>
    <w:rsid w:val="008B5F67"/>
    <w:rsid w:val="008B61A4"/>
    <w:rsid w:val="008B78A6"/>
    <w:rsid w:val="008C520E"/>
    <w:rsid w:val="008D0BF5"/>
    <w:rsid w:val="008D1335"/>
    <w:rsid w:val="008F0602"/>
    <w:rsid w:val="00903286"/>
    <w:rsid w:val="00911828"/>
    <w:rsid w:val="009233A9"/>
    <w:rsid w:val="009378DC"/>
    <w:rsid w:val="009507F3"/>
    <w:rsid w:val="009543EE"/>
    <w:rsid w:val="009554D0"/>
    <w:rsid w:val="0096299F"/>
    <w:rsid w:val="009738D1"/>
    <w:rsid w:val="00980E01"/>
    <w:rsid w:val="009817EF"/>
    <w:rsid w:val="0098682A"/>
    <w:rsid w:val="009932BE"/>
    <w:rsid w:val="009A2232"/>
    <w:rsid w:val="009A36FC"/>
    <w:rsid w:val="009A3D05"/>
    <w:rsid w:val="009B2013"/>
    <w:rsid w:val="009B3FEA"/>
    <w:rsid w:val="009B61AC"/>
    <w:rsid w:val="009C0F1A"/>
    <w:rsid w:val="009C68A8"/>
    <w:rsid w:val="009D1B8E"/>
    <w:rsid w:val="009F0044"/>
    <w:rsid w:val="009F61C0"/>
    <w:rsid w:val="00A03D36"/>
    <w:rsid w:val="00A0453E"/>
    <w:rsid w:val="00A1235D"/>
    <w:rsid w:val="00A12793"/>
    <w:rsid w:val="00A141F7"/>
    <w:rsid w:val="00A16814"/>
    <w:rsid w:val="00A22A63"/>
    <w:rsid w:val="00A258DE"/>
    <w:rsid w:val="00A3445C"/>
    <w:rsid w:val="00A3523B"/>
    <w:rsid w:val="00A41138"/>
    <w:rsid w:val="00A46615"/>
    <w:rsid w:val="00A472A3"/>
    <w:rsid w:val="00A5371A"/>
    <w:rsid w:val="00A6049C"/>
    <w:rsid w:val="00A666F4"/>
    <w:rsid w:val="00A71581"/>
    <w:rsid w:val="00A75E50"/>
    <w:rsid w:val="00A770B9"/>
    <w:rsid w:val="00A8090C"/>
    <w:rsid w:val="00A84CEC"/>
    <w:rsid w:val="00A90825"/>
    <w:rsid w:val="00AA00F5"/>
    <w:rsid w:val="00AC38D4"/>
    <w:rsid w:val="00AD4938"/>
    <w:rsid w:val="00AD6212"/>
    <w:rsid w:val="00AE00C6"/>
    <w:rsid w:val="00AE7280"/>
    <w:rsid w:val="00B01B0A"/>
    <w:rsid w:val="00B03177"/>
    <w:rsid w:val="00B03816"/>
    <w:rsid w:val="00B06089"/>
    <w:rsid w:val="00B10703"/>
    <w:rsid w:val="00B26476"/>
    <w:rsid w:val="00B34E55"/>
    <w:rsid w:val="00B37B87"/>
    <w:rsid w:val="00B407CF"/>
    <w:rsid w:val="00B50118"/>
    <w:rsid w:val="00B50590"/>
    <w:rsid w:val="00B50ABE"/>
    <w:rsid w:val="00B5289E"/>
    <w:rsid w:val="00B54091"/>
    <w:rsid w:val="00B54A11"/>
    <w:rsid w:val="00B5557B"/>
    <w:rsid w:val="00B837AC"/>
    <w:rsid w:val="00B87711"/>
    <w:rsid w:val="00BA28E5"/>
    <w:rsid w:val="00BA359E"/>
    <w:rsid w:val="00BA3F24"/>
    <w:rsid w:val="00BB18C8"/>
    <w:rsid w:val="00BE0494"/>
    <w:rsid w:val="00BE2A0C"/>
    <w:rsid w:val="00BF152E"/>
    <w:rsid w:val="00C0727F"/>
    <w:rsid w:val="00C10B19"/>
    <w:rsid w:val="00C145EA"/>
    <w:rsid w:val="00C2214D"/>
    <w:rsid w:val="00C23A59"/>
    <w:rsid w:val="00C2736F"/>
    <w:rsid w:val="00C30480"/>
    <w:rsid w:val="00C3100B"/>
    <w:rsid w:val="00C377B5"/>
    <w:rsid w:val="00C47D06"/>
    <w:rsid w:val="00C56E96"/>
    <w:rsid w:val="00C612FA"/>
    <w:rsid w:val="00C6665B"/>
    <w:rsid w:val="00C66BDD"/>
    <w:rsid w:val="00C75900"/>
    <w:rsid w:val="00C81712"/>
    <w:rsid w:val="00C86D7B"/>
    <w:rsid w:val="00C91353"/>
    <w:rsid w:val="00CA3469"/>
    <w:rsid w:val="00CA3FF8"/>
    <w:rsid w:val="00CA7DB9"/>
    <w:rsid w:val="00CB1713"/>
    <w:rsid w:val="00CB7B45"/>
    <w:rsid w:val="00CD3B52"/>
    <w:rsid w:val="00CE0D51"/>
    <w:rsid w:val="00CE39D9"/>
    <w:rsid w:val="00CE64A5"/>
    <w:rsid w:val="00D0025B"/>
    <w:rsid w:val="00D01D4E"/>
    <w:rsid w:val="00D13140"/>
    <w:rsid w:val="00D14068"/>
    <w:rsid w:val="00D144B0"/>
    <w:rsid w:val="00D144BA"/>
    <w:rsid w:val="00D22DD7"/>
    <w:rsid w:val="00D24DE9"/>
    <w:rsid w:val="00D325D3"/>
    <w:rsid w:val="00D35489"/>
    <w:rsid w:val="00D46488"/>
    <w:rsid w:val="00D61142"/>
    <w:rsid w:val="00D81810"/>
    <w:rsid w:val="00D968B1"/>
    <w:rsid w:val="00D96DA3"/>
    <w:rsid w:val="00DA1360"/>
    <w:rsid w:val="00DB44B5"/>
    <w:rsid w:val="00DE0D1A"/>
    <w:rsid w:val="00DE2C82"/>
    <w:rsid w:val="00DE36F9"/>
    <w:rsid w:val="00DE75FC"/>
    <w:rsid w:val="00E11098"/>
    <w:rsid w:val="00E12F66"/>
    <w:rsid w:val="00E14302"/>
    <w:rsid w:val="00E16A29"/>
    <w:rsid w:val="00E21030"/>
    <w:rsid w:val="00E23548"/>
    <w:rsid w:val="00E24641"/>
    <w:rsid w:val="00E31CEC"/>
    <w:rsid w:val="00E339B7"/>
    <w:rsid w:val="00E33C02"/>
    <w:rsid w:val="00E3505E"/>
    <w:rsid w:val="00E3622F"/>
    <w:rsid w:val="00E42DB2"/>
    <w:rsid w:val="00E46AC6"/>
    <w:rsid w:val="00E524F8"/>
    <w:rsid w:val="00E52D57"/>
    <w:rsid w:val="00E56609"/>
    <w:rsid w:val="00E5688A"/>
    <w:rsid w:val="00E60C7B"/>
    <w:rsid w:val="00E6327A"/>
    <w:rsid w:val="00E65E42"/>
    <w:rsid w:val="00E76B5A"/>
    <w:rsid w:val="00E82920"/>
    <w:rsid w:val="00E966EE"/>
    <w:rsid w:val="00EA1B01"/>
    <w:rsid w:val="00EA2E5C"/>
    <w:rsid w:val="00EC2E9E"/>
    <w:rsid w:val="00ED6A0B"/>
    <w:rsid w:val="00EE1105"/>
    <w:rsid w:val="00EE1E2B"/>
    <w:rsid w:val="00EE35BB"/>
    <w:rsid w:val="00F01692"/>
    <w:rsid w:val="00F03CDF"/>
    <w:rsid w:val="00F13910"/>
    <w:rsid w:val="00F15AFE"/>
    <w:rsid w:val="00F40BAA"/>
    <w:rsid w:val="00F412D2"/>
    <w:rsid w:val="00F4775F"/>
    <w:rsid w:val="00F478BC"/>
    <w:rsid w:val="00F5436D"/>
    <w:rsid w:val="00F55409"/>
    <w:rsid w:val="00F56E9F"/>
    <w:rsid w:val="00F60E82"/>
    <w:rsid w:val="00F75557"/>
    <w:rsid w:val="00F76F58"/>
    <w:rsid w:val="00F87F75"/>
    <w:rsid w:val="00F96024"/>
    <w:rsid w:val="00FA3915"/>
    <w:rsid w:val="00FB0E1E"/>
    <w:rsid w:val="00FB5979"/>
    <w:rsid w:val="00FC0256"/>
    <w:rsid w:val="00FC057C"/>
    <w:rsid w:val="00FC34EF"/>
    <w:rsid w:val="00FD7A1E"/>
    <w:rsid w:val="00FE2938"/>
    <w:rsid w:val="00FE2D91"/>
    <w:rsid w:val="00FE5814"/>
    <w:rsid w:val="00FF4177"/>
    <w:rsid w:val="00FF51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2AEB"/>
  <w15:chartTrackingRefBased/>
  <w15:docId w15:val="{23E00952-4BEF-8B48-BDD5-3F247EE1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57"/>
    <w:pPr>
      <w:spacing w:after="0" w:line="260" w:lineRule="atLeast"/>
    </w:pPr>
    <w:rPr>
      <w:rFonts w:ascii="Arial" w:hAnsi="Arial" w:cs="Arial"/>
    </w:rPr>
  </w:style>
  <w:style w:type="paragraph" w:styleId="Titre1">
    <w:name w:val="heading 1"/>
    <w:basedOn w:val="Normal"/>
    <w:next w:val="Normal"/>
    <w:link w:val="Titre1Car"/>
    <w:uiPriority w:val="9"/>
    <w:qFormat/>
    <w:rsid w:val="001C6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C6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C60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C60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C60DA"/>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C60D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C60D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C60D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C60D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60D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C60D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C60D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C60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C60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C60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60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60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60DA"/>
    <w:rPr>
      <w:rFonts w:eastAsiaTheme="majorEastAsia" w:cstheme="majorBidi"/>
      <w:color w:val="272727" w:themeColor="text1" w:themeTint="D8"/>
    </w:rPr>
  </w:style>
  <w:style w:type="paragraph" w:styleId="Titre">
    <w:name w:val="Title"/>
    <w:basedOn w:val="Normal"/>
    <w:next w:val="Normal"/>
    <w:link w:val="TitreCar"/>
    <w:uiPriority w:val="10"/>
    <w:qFormat/>
    <w:rsid w:val="001C6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60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60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60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60D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C60DA"/>
    <w:rPr>
      <w:rFonts w:ascii="Arial" w:hAnsi="Arial" w:cs="Arial"/>
      <w:i/>
      <w:iCs/>
      <w:color w:val="404040" w:themeColor="text1" w:themeTint="BF"/>
    </w:rPr>
  </w:style>
  <w:style w:type="paragraph" w:styleId="Paragraphedeliste">
    <w:name w:val="List Paragraph"/>
    <w:basedOn w:val="Normal"/>
    <w:uiPriority w:val="34"/>
    <w:qFormat/>
    <w:rsid w:val="001C60DA"/>
    <w:pPr>
      <w:ind w:left="720"/>
      <w:contextualSpacing/>
    </w:pPr>
  </w:style>
  <w:style w:type="character" w:styleId="Accentuationintense">
    <w:name w:val="Intense Emphasis"/>
    <w:basedOn w:val="Policepardfaut"/>
    <w:uiPriority w:val="21"/>
    <w:qFormat/>
    <w:rsid w:val="001C60DA"/>
    <w:rPr>
      <w:i/>
      <w:iCs/>
      <w:color w:val="0F4761" w:themeColor="accent1" w:themeShade="BF"/>
    </w:rPr>
  </w:style>
  <w:style w:type="paragraph" w:styleId="Citationintense">
    <w:name w:val="Intense Quote"/>
    <w:basedOn w:val="Normal"/>
    <w:next w:val="Normal"/>
    <w:link w:val="CitationintenseCar"/>
    <w:uiPriority w:val="30"/>
    <w:qFormat/>
    <w:rsid w:val="001C6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C60DA"/>
    <w:rPr>
      <w:rFonts w:ascii="Arial" w:hAnsi="Arial" w:cs="Arial"/>
      <w:i/>
      <w:iCs/>
      <w:color w:val="0F4761" w:themeColor="accent1" w:themeShade="BF"/>
    </w:rPr>
  </w:style>
  <w:style w:type="character" w:styleId="Rfrenceintense">
    <w:name w:val="Intense Reference"/>
    <w:basedOn w:val="Policepardfaut"/>
    <w:uiPriority w:val="32"/>
    <w:qFormat/>
    <w:rsid w:val="001C60DA"/>
    <w:rPr>
      <w:b/>
      <w:bCs/>
      <w:smallCaps/>
      <w:color w:val="0F4761" w:themeColor="accent1" w:themeShade="BF"/>
      <w:spacing w:val="5"/>
    </w:rPr>
  </w:style>
  <w:style w:type="paragraph" w:styleId="En-tte">
    <w:name w:val="header"/>
    <w:basedOn w:val="Normal"/>
    <w:link w:val="En-tteCar"/>
    <w:uiPriority w:val="99"/>
    <w:unhideWhenUsed/>
    <w:rsid w:val="009A3D05"/>
    <w:pPr>
      <w:tabs>
        <w:tab w:val="center" w:pos="4513"/>
        <w:tab w:val="right" w:pos="9026"/>
      </w:tabs>
      <w:spacing w:line="240" w:lineRule="auto"/>
    </w:pPr>
  </w:style>
  <w:style w:type="character" w:customStyle="1" w:styleId="En-tteCar">
    <w:name w:val="En-tête Car"/>
    <w:basedOn w:val="Policepardfaut"/>
    <w:link w:val="En-tte"/>
    <w:uiPriority w:val="99"/>
    <w:rsid w:val="009A3D05"/>
    <w:rPr>
      <w:rFonts w:ascii="Arial" w:hAnsi="Arial" w:cs="Arial"/>
    </w:rPr>
  </w:style>
  <w:style w:type="paragraph" w:styleId="Pieddepage">
    <w:name w:val="footer"/>
    <w:basedOn w:val="Normal"/>
    <w:link w:val="PieddepageCar"/>
    <w:uiPriority w:val="99"/>
    <w:unhideWhenUsed/>
    <w:rsid w:val="009A3D05"/>
    <w:pPr>
      <w:tabs>
        <w:tab w:val="center" w:pos="4513"/>
        <w:tab w:val="right" w:pos="9026"/>
      </w:tabs>
      <w:spacing w:line="240" w:lineRule="auto"/>
    </w:pPr>
  </w:style>
  <w:style w:type="character" w:customStyle="1" w:styleId="PieddepageCar">
    <w:name w:val="Pied de page Car"/>
    <w:basedOn w:val="Policepardfaut"/>
    <w:link w:val="Pieddepage"/>
    <w:uiPriority w:val="99"/>
    <w:rsid w:val="009A3D05"/>
    <w:rPr>
      <w:rFonts w:ascii="Arial" w:hAnsi="Arial" w:cs="Arial"/>
    </w:rPr>
  </w:style>
  <w:style w:type="character" w:styleId="Marquedecommentaire">
    <w:name w:val="annotation reference"/>
    <w:basedOn w:val="Policepardfaut"/>
    <w:uiPriority w:val="99"/>
    <w:semiHidden/>
    <w:unhideWhenUsed/>
    <w:rsid w:val="009A3D05"/>
    <w:rPr>
      <w:sz w:val="16"/>
      <w:szCs w:val="16"/>
    </w:rPr>
  </w:style>
  <w:style w:type="paragraph" w:styleId="Commentaire">
    <w:name w:val="annotation text"/>
    <w:basedOn w:val="Normal"/>
    <w:link w:val="CommentaireCar"/>
    <w:uiPriority w:val="99"/>
    <w:unhideWhenUsed/>
    <w:rsid w:val="009A3D05"/>
    <w:pPr>
      <w:spacing w:line="240" w:lineRule="auto"/>
    </w:pPr>
    <w:rPr>
      <w:sz w:val="20"/>
      <w:szCs w:val="20"/>
    </w:rPr>
  </w:style>
  <w:style w:type="character" w:customStyle="1" w:styleId="CommentaireCar">
    <w:name w:val="Commentaire Car"/>
    <w:basedOn w:val="Policepardfaut"/>
    <w:link w:val="Commentaire"/>
    <w:uiPriority w:val="99"/>
    <w:rsid w:val="009A3D05"/>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9A3D05"/>
    <w:rPr>
      <w:b/>
      <w:bCs/>
    </w:rPr>
  </w:style>
  <w:style w:type="character" w:customStyle="1" w:styleId="ObjetducommentaireCar">
    <w:name w:val="Objet du commentaire Car"/>
    <w:basedOn w:val="CommentaireCar"/>
    <w:link w:val="Objetducommentaire"/>
    <w:uiPriority w:val="99"/>
    <w:semiHidden/>
    <w:rsid w:val="009A3D05"/>
    <w:rPr>
      <w:rFonts w:ascii="Arial" w:hAnsi="Arial" w:cs="Arial"/>
      <w:b/>
      <w:bCs/>
      <w:sz w:val="20"/>
      <w:szCs w:val="20"/>
    </w:rPr>
  </w:style>
  <w:style w:type="table" w:styleId="Grilledutableau">
    <w:name w:val="Table Grid"/>
    <w:basedOn w:val="TableauNormal"/>
    <w:uiPriority w:val="39"/>
    <w:rsid w:val="009A3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22DD7"/>
    <w:rPr>
      <w:color w:val="467886" w:themeColor="hyperlink"/>
      <w:u w:val="single"/>
    </w:rPr>
  </w:style>
  <w:style w:type="character" w:styleId="Mentionnonrsolue">
    <w:name w:val="Unresolved Mention"/>
    <w:basedOn w:val="Policepardfaut"/>
    <w:uiPriority w:val="99"/>
    <w:semiHidden/>
    <w:unhideWhenUsed/>
    <w:rsid w:val="00D22DD7"/>
    <w:rPr>
      <w:color w:val="605E5C"/>
      <w:shd w:val="clear" w:color="auto" w:fill="E1DFDD"/>
    </w:rPr>
  </w:style>
  <w:style w:type="paragraph" w:styleId="Rvision">
    <w:name w:val="Revision"/>
    <w:hidden/>
    <w:uiPriority w:val="99"/>
    <w:semiHidden/>
    <w:rsid w:val="00344714"/>
    <w:pPr>
      <w:spacing w:after="0" w:line="240" w:lineRule="auto"/>
    </w:pPr>
    <w:rPr>
      <w:rFonts w:ascii="Arial" w:hAnsi="Arial" w:cs="Arial"/>
    </w:rPr>
  </w:style>
  <w:style w:type="paragraph" w:customStyle="1" w:styleId="Default">
    <w:name w:val="Default"/>
    <w:rsid w:val="000B1D10"/>
    <w:pPr>
      <w:autoSpaceDE w:val="0"/>
      <w:autoSpaceDN w:val="0"/>
      <w:adjustRightInd w:val="0"/>
      <w:spacing w:after="0" w:line="240" w:lineRule="auto"/>
    </w:pPr>
    <w:rPr>
      <w:rFonts w:ascii="Times New Roman" w:hAnsi="Times New Roman" w:cs="Times New Roman"/>
      <w:color w:val="000000"/>
      <w:kern w:val="0"/>
      <w:sz w:val="24"/>
      <w:szCs w:val="24"/>
      <w:lang w:val="fr-FR"/>
    </w:rPr>
  </w:style>
  <w:style w:type="paragraph" w:styleId="NormalWeb">
    <w:name w:val="Normal (Web)"/>
    <w:basedOn w:val="Normal"/>
    <w:uiPriority w:val="99"/>
    <w:semiHidden/>
    <w:unhideWhenUsed/>
    <w:rsid w:val="002D36B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nnabisregulierung@bag.admin.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te.bag.admin.ch/consultations/ui/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b56f87-bb31-462e-8411-aa08a6bdf4b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67227299AA0242ACDA89501C4950FC" ma:contentTypeVersion="14" ma:contentTypeDescription="Crée un document." ma:contentTypeScope="" ma:versionID="99578b3c2a62c3efaf6498c808b69c15">
  <xsd:schema xmlns:xsd="http://www.w3.org/2001/XMLSchema" xmlns:xs="http://www.w3.org/2001/XMLSchema" xmlns:p="http://schemas.microsoft.com/office/2006/metadata/properties" xmlns:ns2="5eb56f87-bb31-462e-8411-aa08a6bdf4b2" xmlns:ns3="51c98100-6f2c-433c-8513-fe10934924d8" targetNamespace="http://schemas.microsoft.com/office/2006/metadata/properties" ma:root="true" ma:fieldsID="b2d01c96e06731b8afe9a64ac028367a" ns2:_="" ns3:_="">
    <xsd:import namespace="5eb56f87-bb31-462e-8411-aa08a6bdf4b2"/>
    <xsd:import namespace="51c98100-6f2c-433c-8513-fe10934924d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56f87-bb31-462e-8411-aa08a6bdf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17b98ba7-a799-4f76-9d7d-37f33d7aca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98100-6f2c-433c-8513-fe10934924d8"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41F9F-E062-413E-AAE3-F7CA4B29538C}">
  <ds:schemaRefs>
    <ds:schemaRef ds:uri="http://schemas.microsoft.com/sharepoint/v3/contenttype/forms"/>
  </ds:schemaRefs>
</ds:datastoreItem>
</file>

<file path=customXml/itemProps2.xml><?xml version="1.0" encoding="utf-8"?>
<ds:datastoreItem xmlns:ds="http://schemas.openxmlformats.org/officeDocument/2006/customXml" ds:itemID="{9C3170A1-79D9-404F-876F-FE966BD49DE2}">
  <ds:schemaRefs>
    <ds:schemaRef ds:uri="http://schemas.microsoft.com/office/2006/metadata/properties"/>
    <ds:schemaRef ds:uri="http://schemas.microsoft.com/office/infopath/2007/PartnerControls"/>
    <ds:schemaRef ds:uri="5eb56f87-bb31-462e-8411-aa08a6bdf4b2"/>
  </ds:schemaRefs>
</ds:datastoreItem>
</file>

<file path=customXml/itemProps3.xml><?xml version="1.0" encoding="utf-8"?>
<ds:datastoreItem xmlns:ds="http://schemas.openxmlformats.org/officeDocument/2006/customXml" ds:itemID="{D06C3BC8-E103-4ACC-9CBE-EC25279FD8D9}">
  <ds:schemaRefs>
    <ds:schemaRef ds:uri="http://schemas.openxmlformats.org/officeDocument/2006/bibliography"/>
  </ds:schemaRefs>
</ds:datastoreItem>
</file>

<file path=customXml/itemProps4.xml><?xml version="1.0" encoding="utf-8"?>
<ds:datastoreItem xmlns:ds="http://schemas.openxmlformats.org/officeDocument/2006/customXml" ds:itemID="{C652A7DA-092D-4122-B414-26FD4A58B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56f87-bb31-462e-8411-aa08a6bdf4b2"/>
    <ds:schemaRef ds:uri="51c98100-6f2c-433c-8513-fe109349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28</Pages>
  <Words>8651</Words>
  <Characters>47583</Characters>
  <Application>Microsoft Office Word</Application>
  <DocSecurity>0</DocSecurity>
  <Lines>396</Lines>
  <Paragraphs>112</Paragraphs>
  <ScaleCrop>false</ScaleCrop>
  <HeadingPairs>
    <vt:vector size="2" baseType="variant">
      <vt:variant>
        <vt:lpstr>Titre</vt:lpstr>
      </vt:variant>
      <vt:variant>
        <vt:i4>1</vt:i4>
      </vt:variant>
    </vt:vector>
  </HeadingPairs>
  <TitlesOfParts>
    <vt:vector size="1" baseType="lpstr">
      <vt:lpstr>Fragebogen CanPG D Stand E-Mail Coralie 1.7.25</vt:lpstr>
    </vt:vector>
  </TitlesOfParts>
  <Company/>
  <LinksUpToDate>false</LinksUpToDate>
  <CharactersWithSpaces>56122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réponse consultation 20.473</dc:title>
  <dc:subject/>
  <dc:creator>Menétrey Coralie BAG</dc:creator>
  <cp:keywords/>
  <dc:description/>
  <cp:lastModifiedBy>Nadia Yersin</cp:lastModifiedBy>
  <cp:revision>236</cp:revision>
  <dcterms:created xsi:type="dcterms:W3CDTF">2025-08-12T09:26:00Z</dcterms:created>
  <dcterms:modified xsi:type="dcterms:W3CDTF">2025-11-27T08:27:00Z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c8fc13-10ff-486c-8b98-f1c4969692dd_Enabled">
    <vt:lpwstr>true</vt:lpwstr>
  </property>
  <property fmtid="{D5CDD505-2E9C-101B-9397-08002B2CF9AE}" pid="3" name="MSIP_Label_c5c8fc13-10ff-486c-8b98-f1c4969692dd_SetDate">
    <vt:lpwstr>2025-06-25T11:10:57Z</vt:lpwstr>
  </property>
  <property fmtid="{D5CDD505-2E9C-101B-9397-08002B2CF9AE}" pid="4" name="MSIP_Label_c5c8fc13-10ff-486c-8b98-f1c4969692dd_Method">
    <vt:lpwstr>Privileged</vt:lpwstr>
  </property>
  <property fmtid="{D5CDD505-2E9C-101B-9397-08002B2CF9AE}" pid="5" name="MSIP_Label_c5c8fc13-10ff-486c-8b98-f1c4969692dd_Name">
    <vt:lpwstr>L3</vt:lpwstr>
  </property>
  <property fmtid="{D5CDD505-2E9C-101B-9397-08002B2CF9AE}" pid="6" name="MSIP_Label_c5c8fc13-10ff-486c-8b98-f1c4969692dd_SiteId">
    <vt:lpwstr>6ae27add-8276-4a38-88c1-3a9c1f973767</vt:lpwstr>
  </property>
  <property fmtid="{D5CDD505-2E9C-101B-9397-08002B2CF9AE}" pid="7" name="MSIP_Label_c5c8fc13-10ff-486c-8b98-f1c4969692dd_ActionId">
    <vt:lpwstr>343cc764-43d4-44df-bd4b-dbd57df93627</vt:lpwstr>
  </property>
  <property fmtid="{D5CDD505-2E9C-101B-9397-08002B2CF9AE}" pid="8" name="MSIP_Label_c5c8fc13-10ff-486c-8b98-f1c4969692dd_ContentBits">
    <vt:lpwstr>0</vt:lpwstr>
  </property>
  <property fmtid="{D5CDD505-2E9C-101B-9397-08002B2CF9AE}" pid="9" name="MSIP_Label_c5c8fc13-10ff-486c-8b98-f1c4969692dd_Tag">
    <vt:lpwstr>10, 0, 1, 1</vt:lpwstr>
  </property>
  <property fmtid="{D5CDD505-2E9C-101B-9397-08002B2CF9AE}" pid="10" name="ContentTypeId">
    <vt:lpwstr>0x0101001667227299AA0242ACDA89501C4950FC</vt:lpwstr>
  </property>
  <property fmtid="{D5CDD505-2E9C-101B-9397-08002B2CF9AE}" pid="11" name="Anzeigesprachen--Langue d'affichage">
    <vt:lpwstr/>
  </property>
  <property fmtid="{D5CDD505-2E9C-101B-9397-08002B2CF9AE}" pid="12" name="MediaServiceImageTags">
    <vt:lpwstr/>
  </property>
</Properties>
</file>